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898E2">
      <w:pPr>
        <w:overflowPunct w:val="0"/>
        <w:spacing w:line="700" w:lineRule="exact"/>
      </w:pPr>
    </w:p>
    <w:p w14:paraId="24F3C96D">
      <w:pPr>
        <w:pStyle w:val="5"/>
        <w:keepNext/>
        <w:keepLines/>
        <w:spacing w:line="1200" w:lineRule="exact"/>
        <w:rPr>
          <w:rFonts w:ascii="Times New Roman" w:hAnsi="Times New Roman"/>
          <w:sz w:val="72"/>
          <w:szCs w:val="72"/>
        </w:rPr>
      </w:pPr>
      <w:r>
        <w:rPr>
          <w:rFonts w:ascii="Times New Roman" w:hAnsi="Times New Roman"/>
          <w:sz w:val="72"/>
          <w:szCs w:val="72"/>
        </w:rPr>
        <w:t>娄底市本级部门整体支出</w:t>
      </w:r>
    </w:p>
    <w:p w14:paraId="1436F999">
      <w:pPr>
        <w:overflowPunct w:val="0"/>
        <w:spacing w:line="700" w:lineRule="exact"/>
      </w:pPr>
    </w:p>
    <w:p w14:paraId="0D59D570">
      <w:pPr>
        <w:overflowPunct w:val="0"/>
        <w:spacing w:line="700" w:lineRule="exact"/>
      </w:pPr>
    </w:p>
    <w:p w14:paraId="70148786">
      <w:pPr>
        <w:overflowPunct w:val="0"/>
        <w:spacing w:line="1240" w:lineRule="exact"/>
        <w:jc w:val="center"/>
        <w:rPr>
          <w:rFonts w:eastAsia="方正魏碑简体"/>
          <w:sz w:val="120"/>
          <w:szCs w:val="120"/>
        </w:rPr>
      </w:pPr>
      <w:r>
        <w:rPr>
          <w:rFonts w:eastAsia="方正魏碑简体"/>
          <w:sz w:val="120"/>
          <w:szCs w:val="120"/>
        </w:rPr>
        <w:t>绩</w:t>
      </w:r>
    </w:p>
    <w:p w14:paraId="5C62D877">
      <w:pPr>
        <w:overflowPunct w:val="0"/>
        <w:spacing w:line="1240" w:lineRule="exact"/>
        <w:jc w:val="center"/>
        <w:rPr>
          <w:rFonts w:eastAsia="方正魏碑简体"/>
          <w:sz w:val="120"/>
          <w:szCs w:val="120"/>
        </w:rPr>
      </w:pPr>
      <w:r>
        <w:rPr>
          <w:rFonts w:eastAsia="方正魏碑简体"/>
          <w:sz w:val="120"/>
          <w:szCs w:val="120"/>
        </w:rPr>
        <w:t>效</w:t>
      </w:r>
    </w:p>
    <w:p w14:paraId="40B71AA0">
      <w:pPr>
        <w:overflowPunct w:val="0"/>
        <w:spacing w:line="1240" w:lineRule="exact"/>
        <w:jc w:val="center"/>
        <w:rPr>
          <w:rFonts w:eastAsia="方正魏碑简体"/>
          <w:sz w:val="120"/>
          <w:szCs w:val="120"/>
        </w:rPr>
      </w:pPr>
      <w:r>
        <w:rPr>
          <w:rFonts w:eastAsia="方正魏碑简体"/>
          <w:sz w:val="120"/>
          <w:szCs w:val="120"/>
        </w:rPr>
        <w:t>自</w:t>
      </w:r>
    </w:p>
    <w:p w14:paraId="26192EBE">
      <w:pPr>
        <w:overflowPunct w:val="0"/>
        <w:spacing w:line="1240" w:lineRule="exact"/>
        <w:jc w:val="center"/>
        <w:rPr>
          <w:rFonts w:eastAsia="方正魏碑简体"/>
          <w:sz w:val="120"/>
          <w:szCs w:val="120"/>
        </w:rPr>
      </w:pPr>
      <w:r>
        <w:rPr>
          <w:rFonts w:eastAsia="方正魏碑简体"/>
          <w:sz w:val="120"/>
          <w:szCs w:val="120"/>
        </w:rPr>
        <w:t>评</w:t>
      </w:r>
    </w:p>
    <w:p w14:paraId="6EC2F6B8">
      <w:pPr>
        <w:overflowPunct w:val="0"/>
        <w:spacing w:line="1240" w:lineRule="exact"/>
        <w:jc w:val="center"/>
        <w:rPr>
          <w:rFonts w:eastAsia="方正魏碑简体"/>
          <w:sz w:val="120"/>
          <w:szCs w:val="120"/>
        </w:rPr>
      </w:pPr>
      <w:r>
        <w:rPr>
          <w:rFonts w:eastAsia="方正魏碑简体"/>
          <w:sz w:val="120"/>
          <w:szCs w:val="120"/>
        </w:rPr>
        <w:t>材</w:t>
      </w:r>
    </w:p>
    <w:p w14:paraId="454BC7AC">
      <w:pPr>
        <w:overflowPunct w:val="0"/>
        <w:spacing w:line="1240" w:lineRule="exact"/>
        <w:jc w:val="center"/>
        <w:rPr>
          <w:rFonts w:eastAsia="方正魏碑简体"/>
          <w:sz w:val="120"/>
          <w:szCs w:val="120"/>
        </w:rPr>
      </w:pPr>
      <w:r>
        <w:rPr>
          <w:rFonts w:eastAsia="方正魏碑简体"/>
          <w:sz w:val="120"/>
          <w:szCs w:val="120"/>
        </w:rPr>
        <w:t>料</w:t>
      </w:r>
    </w:p>
    <w:p w14:paraId="2C91BFFC">
      <w:pPr>
        <w:overflowPunct w:val="0"/>
        <w:spacing w:line="660" w:lineRule="exact"/>
      </w:pPr>
    </w:p>
    <w:p w14:paraId="795B7609">
      <w:pPr>
        <w:overflowPunct w:val="0"/>
        <w:spacing w:line="660" w:lineRule="exact"/>
      </w:pPr>
    </w:p>
    <w:p w14:paraId="68679E85">
      <w:pPr>
        <w:jc w:val="center"/>
        <w:rPr>
          <w:rFonts w:eastAsia="黑体"/>
          <w:sz w:val="44"/>
          <w:szCs w:val="44"/>
        </w:rPr>
      </w:pPr>
      <w:r>
        <w:rPr>
          <w:rFonts w:eastAsia="黑体"/>
          <w:sz w:val="44"/>
          <w:szCs w:val="44"/>
        </w:rPr>
        <w:t>娄底市工商业联合会</w:t>
      </w:r>
    </w:p>
    <w:p w14:paraId="4F6BC681">
      <w:pPr>
        <w:jc w:val="center"/>
        <w:rPr>
          <w:rFonts w:eastAsia="黑体"/>
          <w:sz w:val="44"/>
          <w:szCs w:val="44"/>
        </w:rPr>
      </w:pPr>
      <w:r>
        <w:rPr>
          <w:rFonts w:eastAsia="黑体"/>
          <w:sz w:val="44"/>
          <w:szCs w:val="44"/>
        </w:rPr>
        <w:t>二</w:t>
      </w:r>
      <w:r>
        <w:rPr>
          <w:rFonts w:hint="eastAsia" w:eastAsia="黑体"/>
          <w:sz w:val="44"/>
          <w:szCs w:val="44"/>
        </w:rPr>
        <w:t>○</w:t>
      </w:r>
      <w:r>
        <w:rPr>
          <w:rFonts w:eastAsia="黑体"/>
          <w:sz w:val="44"/>
          <w:szCs w:val="44"/>
        </w:rPr>
        <w:t>二</w:t>
      </w:r>
      <w:r>
        <w:rPr>
          <w:rFonts w:hint="eastAsia" w:eastAsia="黑体"/>
          <w:sz w:val="44"/>
          <w:szCs w:val="44"/>
          <w:lang w:eastAsia="zh-CN"/>
        </w:rPr>
        <w:t>四</w:t>
      </w:r>
      <w:r>
        <w:rPr>
          <w:rFonts w:eastAsia="黑体"/>
          <w:sz w:val="44"/>
          <w:szCs w:val="44"/>
        </w:rPr>
        <w:t>年五月</w:t>
      </w:r>
    </w:p>
    <w:p w14:paraId="45173EE9">
      <w:r>
        <w:br w:type="page"/>
      </w:r>
      <w:r>
        <w:br w:type="page"/>
      </w:r>
    </w:p>
    <w:p w14:paraId="657DCC57">
      <w:pPr>
        <w:overflowPunct w:val="0"/>
        <w:spacing w:line="630" w:lineRule="exact"/>
        <w:rPr>
          <w:rFonts w:eastAsia="黑体"/>
          <w:b/>
          <w:bCs/>
          <w:kern w:val="0"/>
          <w:sz w:val="36"/>
          <w:szCs w:val="36"/>
          <w:u w:val="single"/>
        </w:rPr>
      </w:pPr>
    </w:p>
    <w:p w14:paraId="75197FD7">
      <w:pPr>
        <w:overflowPunct w:val="0"/>
        <w:spacing w:line="630" w:lineRule="exact"/>
        <w:jc w:val="center"/>
        <w:rPr>
          <w:rFonts w:eastAsia="华文中宋"/>
          <w:kern w:val="0"/>
          <w:sz w:val="44"/>
          <w:szCs w:val="44"/>
        </w:rPr>
      </w:pPr>
      <w:r>
        <w:rPr>
          <w:rFonts w:eastAsia="华文中宋"/>
          <w:kern w:val="0"/>
          <w:sz w:val="44"/>
          <w:szCs w:val="44"/>
        </w:rPr>
        <w:t>自 评 材 料 目 录</w:t>
      </w:r>
    </w:p>
    <w:p w14:paraId="1CCB69E4">
      <w:pPr>
        <w:overflowPunct w:val="0"/>
        <w:spacing w:line="630" w:lineRule="exact"/>
        <w:jc w:val="center"/>
        <w:rPr>
          <w:rFonts w:eastAsia="黑体"/>
          <w:kern w:val="0"/>
          <w:sz w:val="32"/>
          <w:szCs w:val="32"/>
        </w:rPr>
      </w:pPr>
    </w:p>
    <w:p w14:paraId="70DED902">
      <w:pPr>
        <w:overflowPunct w:val="0"/>
        <w:spacing w:line="630" w:lineRule="exact"/>
        <w:ind w:firstLine="640" w:firstLineChars="200"/>
        <w:rPr>
          <w:rFonts w:eastAsia="仿宋"/>
          <w:kern w:val="0"/>
          <w:sz w:val="32"/>
          <w:szCs w:val="32"/>
        </w:rPr>
      </w:pPr>
      <w:r>
        <w:rPr>
          <w:rFonts w:eastAsia="仿宋"/>
          <w:kern w:val="0"/>
          <w:sz w:val="32"/>
          <w:szCs w:val="32"/>
        </w:rPr>
        <w:t>1.《娄底市本级部门整体支出绩效自评报告》</w:t>
      </w:r>
    </w:p>
    <w:p w14:paraId="281C2D27">
      <w:pPr>
        <w:overflowPunct w:val="0"/>
        <w:spacing w:line="630" w:lineRule="exact"/>
        <w:ind w:firstLine="640" w:firstLineChars="200"/>
        <w:rPr>
          <w:rFonts w:eastAsia="仿宋"/>
          <w:kern w:val="0"/>
          <w:sz w:val="32"/>
          <w:szCs w:val="32"/>
        </w:rPr>
      </w:pPr>
      <w:r>
        <w:rPr>
          <w:rFonts w:eastAsia="仿宋"/>
          <w:kern w:val="0"/>
          <w:sz w:val="32"/>
          <w:szCs w:val="32"/>
        </w:rPr>
        <w:t>2.《部门整体支出绩效评价基础数据表》</w:t>
      </w:r>
    </w:p>
    <w:p w14:paraId="691BC1D9">
      <w:pPr>
        <w:overflowPunct w:val="0"/>
        <w:spacing w:line="630" w:lineRule="exact"/>
        <w:ind w:firstLine="640" w:firstLineChars="200"/>
        <w:rPr>
          <w:rFonts w:eastAsia="仿宋"/>
          <w:kern w:val="0"/>
          <w:sz w:val="32"/>
          <w:szCs w:val="32"/>
        </w:rPr>
      </w:pPr>
      <w:r>
        <w:rPr>
          <w:rFonts w:eastAsia="仿宋"/>
          <w:kern w:val="0"/>
          <w:sz w:val="32"/>
          <w:szCs w:val="32"/>
        </w:rPr>
        <w:t>3.《部门整体支出绩效评价指标自评打分表》</w:t>
      </w:r>
    </w:p>
    <w:p w14:paraId="78E1258D">
      <w:pPr>
        <w:overflowPunct w:val="0"/>
        <w:spacing w:line="630" w:lineRule="exact"/>
        <w:ind w:left="958" w:leftChars="304" w:hanging="320" w:hangingChars="100"/>
        <w:rPr>
          <w:rFonts w:eastAsia="仿宋"/>
          <w:kern w:val="0"/>
          <w:sz w:val="32"/>
          <w:szCs w:val="32"/>
        </w:rPr>
      </w:pPr>
      <w:r>
        <w:rPr>
          <w:rFonts w:eastAsia="仿宋"/>
          <w:kern w:val="0"/>
          <w:sz w:val="32"/>
          <w:szCs w:val="32"/>
        </w:rPr>
        <w:t>4.部门预算支出整体绩效自评报告网上公开截图</w:t>
      </w:r>
    </w:p>
    <w:p w14:paraId="30FC8908">
      <w:pPr>
        <w:overflowPunct w:val="0"/>
        <w:spacing w:line="630" w:lineRule="exact"/>
        <w:ind w:left="958" w:leftChars="304" w:hanging="320" w:hangingChars="100"/>
        <w:rPr>
          <w:rFonts w:eastAsia="仿宋"/>
          <w:kern w:val="0"/>
          <w:sz w:val="32"/>
          <w:szCs w:val="32"/>
        </w:rPr>
      </w:pPr>
      <w:r>
        <w:rPr>
          <w:rFonts w:eastAsia="仿宋"/>
          <w:kern w:val="0"/>
          <w:sz w:val="32"/>
          <w:szCs w:val="32"/>
        </w:rPr>
        <w:t>5.其他必要材料及与自评报告、基础表和自评表内容相符的相关佐证材料</w:t>
      </w:r>
    </w:p>
    <w:p w14:paraId="1F9DEBC5">
      <w:pPr>
        <w:overflowPunct w:val="0"/>
        <w:autoSpaceDN w:val="0"/>
        <w:spacing w:line="630" w:lineRule="exact"/>
        <w:jc w:val="center"/>
        <w:rPr>
          <w:rFonts w:eastAsia="方正小标宋简体"/>
          <w:bCs/>
          <w:kern w:val="0"/>
          <w:sz w:val="44"/>
          <w:szCs w:val="44"/>
        </w:rPr>
      </w:pPr>
      <w:r>
        <w:rPr>
          <w:rFonts w:eastAsia="方正小标宋简体"/>
          <w:bCs/>
          <w:kern w:val="0"/>
          <w:sz w:val="44"/>
          <w:szCs w:val="44"/>
        </w:rPr>
        <w:br w:type="page"/>
      </w:r>
    </w:p>
    <w:p w14:paraId="5C367022">
      <w:pPr>
        <w:pStyle w:val="2"/>
        <w:ind w:firstLine="440"/>
        <w:rPr>
          <w:rFonts w:eastAsia="方正小标宋简体"/>
          <w:bCs/>
          <w:sz w:val="44"/>
          <w:szCs w:val="44"/>
        </w:rPr>
        <w:sectPr>
          <w:footerReference r:id="rId5" w:type="first"/>
          <w:footerReference r:id="rId3" w:type="default"/>
          <w:footerReference r:id="rId4" w:type="even"/>
          <w:pgSz w:w="11906" w:h="16838"/>
          <w:pgMar w:top="1758" w:right="1361" w:bottom="1531" w:left="1701" w:header="851" w:footer="1247" w:gutter="0"/>
          <w:cols w:space="720" w:num="1"/>
          <w:titlePg/>
          <w:docGrid w:type="lines" w:linePitch="312" w:charSpace="0"/>
        </w:sectPr>
      </w:pPr>
    </w:p>
    <w:p w14:paraId="46A0197F">
      <w:pPr>
        <w:overflowPunct w:val="0"/>
        <w:autoSpaceDN w:val="0"/>
        <w:spacing w:line="630" w:lineRule="exact"/>
        <w:jc w:val="center"/>
        <w:rPr>
          <w:rFonts w:eastAsia="楷体_GB2312"/>
          <w:color w:val="000000"/>
          <w:kern w:val="0"/>
          <w:sz w:val="28"/>
          <w:szCs w:val="28"/>
        </w:rPr>
      </w:pPr>
    </w:p>
    <w:p w14:paraId="39C31023">
      <w:pPr>
        <w:pStyle w:val="5"/>
      </w:pPr>
      <w:r>
        <w:t>202</w:t>
      </w:r>
      <w:r>
        <w:rPr>
          <w:rFonts w:hint="eastAsia"/>
        </w:rPr>
        <w:t>3</w:t>
      </w:r>
      <w:r>
        <w:t>年度部门整体支出绩效自评报告</w:t>
      </w:r>
    </w:p>
    <w:p w14:paraId="51E1CC34">
      <w:pPr>
        <w:overflowPunct w:val="0"/>
        <w:autoSpaceDN w:val="0"/>
        <w:spacing w:line="630" w:lineRule="exact"/>
        <w:jc w:val="center"/>
        <w:rPr>
          <w:rFonts w:eastAsia="楷体_GB2312"/>
          <w:color w:val="000000"/>
          <w:kern w:val="0"/>
          <w:sz w:val="28"/>
          <w:szCs w:val="28"/>
        </w:rPr>
      </w:pPr>
    </w:p>
    <w:p w14:paraId="246E1196">
      <w:pPr>
        <w:overflowPunct w:val="0"/>
        <w:autoSpaceDN w:val="0"/>
        <w:spacing w:line="630" w:lineRule="exact"/>
        <w:ind w:firstLine="640"/>
        <w:rPr>
          <w:rFonts w:eastAsia="黑体"/>
          <w:color w:val="000000"/>
          <w:kern w:val="0"/>
          <w:sz w:val="32"/>
          <w:szCs w:val="32"/>
        </w:rPr>
      </w:pPr>
      <w:r>
        <w:rPr>
          <w:rFonts w:eastAsia="黑体"/>
          <w:color w:val="000000"/>
          <w:kern w:val="0"/>
          <w:sz w:val="32"/>
          <w:szCs w:val="32"/>
        </w:rPr>
        <w:t>一、部门概况</w:t>
      </w:r>
    </w:p>
    <w:p w14:paraId="3B793FA3">
      <w:pPr>
        <w:shd w:val="clear" w:color="auto" w:fill="FFFFFF"/>
        <w:overflowPunct w:val="0"/>
        <w:spacing w:line="630" w:lineRule="exact"/>
        <w:ind w:firstLine="640" w:firstLineChars="200"/>
        <w:rPr>
          <w:rFonts w:eastAsia="仿宋_GB2312"/>
          <w:sz w:val="32"/>
          <w:szCs w:val="32"/>
        </w:rPr>
      </w:pPr>
      <w:r>
        <w:rPr>
          <w:rFonts w:eastAsia="仿宋_GB2312"/>
          <w:sz w:val="32"/>
          <w:szCs w:val="32"/>
        </w:rPr>
        <w:t>（一）简要介绍202</w:t>
      </w:r>
      <w:r>
        <w:rPr>
          <w:rFonts w:hint="eastAsia" w:eastAsia="仿宋_GB2312"/>
          <w:sz w:val="32"/>
          <w:szCs w:val="32"/>
        </w:rPr>
        <w:t>3</w:t>
      </w:r>
      <w:r>
        <w:rPr>
          <w:rFonts w:eastAsia="仿宋_GB2312"/>
          <w:sz w:val="32"/>
          <w:szCs w:val="32"/>
        </w:rPr>
        <w:t>年度重点工作计划；</w:t>
      </w:r>
    </w:p>
    <w:p w14:paraId="6EEEB67D">
      <w:pPr>
        <w:shd w:val="clear" w:color="auto" w:fill="FFFFFF"/>
        <w:overflowPunct w:val="0"/>
        <w:spacing w:line="63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强化政治引领，深化理想信念教育。</w:t>
      </w:r>
    </w:p>
    <w:p w14:paraId="3FC94189">
      <w:pPr>
        <w:shd w:val="clear" w:color="auto" w:fill="FFFFFF"/>
        <w:overflowPunct w:val="0"/>
        <w:spacing w:line="63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坚持服务中心，助力营商环境优化。</w:t>
      </w:r>
    </w:p>
    <w:p w14:paraId="50A53A7D">
      <w:pPr>
        <w:shd w:val="clear" w:color="auto" w:fill="FFFFFF"/>
        <w:overflowPunct w:val="0"/>
        <w:spacing w:line="63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推进娄商返娄，</w:t>
      </w:r>
      <w:r>
        <w:rPr>
          <w:rFonts w:eastAsia="仿宋_GB2312"/>
          <w:sz w:val="32"/>
          <w:szCs w:val="32"/>
        </w:rPr>
        <w:t>突出娄商联络品牌</w:t>
      </w:r>
      <w:r>
        <w:rPr>
          <w:rFonts w:hint="eastAsia" w:eastAsia="仿宋_GB2312"/>
          <w:sz w:val="32"/>
          <w:szCs w:val="32"/>
        </w:rPr>
        <w:t>。</w:t>
      </w:r>
    </w:p>
    <w:p w14:paraId="0F63A248">
      <w:pPr>
        <w:shd w:val="clear" w:color="auto" w:fill="FFFFFF"/>
        <w:overflowPunct w:val="0"/>
        <w:spacing w:line="63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担当社会责任，推动乡村全面振兴</w:t>
      </w:r>
      <w:r>
        <w:rPr>
          <w:rFonts w:eastAsia="仿宋_GB2312"/>
          <w:sz w:val="32"/>
          <w:szCs w:val="32"/>
        </w:rPr>
        <w:t>。</w:t>
      </w:r>
    </w:p>
    <w:p w14:paraId="493BD4F7">
      <w:pPr>
        <w:shd w:val="clear" w:color="auto" w:fill="FFFFFF"/>
        <w:overflowPunct w:val="0"/>
        <w:spacing w:line="630" w:lineRule="exact"/>
        <w:ind w:firstLine="640" w:firstLineChars="200"/>
        <w:rPr>
          <w:rFonts w:hint="eastAsia" w:eastAsia="楷体"/>
          <w:b/>
          <w:bCs/>
          <w:sz w:val="32"/>
          <w:szCs w:val="32"/>
        </w:rPr>
      </w:pPr>
      <w:r>
        <w:rPr>
          <w:rFonts w:eastAsia="仿宋_GB2312"/>
          <w:sz w:val="32"/>
          <w:szCs w:val="32"/>
        </w:rPr>
        <w:t>5、</w:t>
      </w:r>
      <w:r>
        <w:rPr>
          <w:rFonts w:eastAsia="楷体"/>
          <w:b/>
          <w:bCs/>
          <w:sz w:val="32"/>
          <w:szCs w:val="32"/>
        </w:rPr>
        <w:t>大力固本强基，提高机关服务效能</w:t>
      </w:r>
      <w:r>
        <w:rPr>
          <w:rFonts w:hint="eastAsia" w:eastAsia="楷体"/>
          <w:b/>
          <w:bCs/>
          <w:sz w:val="32"/>
          <w:szCs w:val="32"/>
        </w:rPr>
        <w:t>。</w:t>
      </w:r>
    </w:p>
    <w:p w14:paraId="00B5F8B0">
      <w:pPr>
        <w:shd w:val="clear" w:color="auto" w:fill="FFFFFF"/>
        <w:overflowPunct w:val="0"/>
        <w:spacing w:line="630" w:lineRule="exact"/>
        <w:ind w:firstLine="640" w:firstLineChars="200"/>
        <w:rPr>
          <w:rFonts w:eastAsia="仿宋_GB2312"/>
          <w:sz w:val="32"/>
          <w:szCs w:val="32"/>
        </w:rPr>
      </w:pPr>
      <w:r>
        <w:rPr>
          <w:rFonts w:eastAsia="仿宋_GB2312"/>
          <w:sz w:val="32"/>
          <w:szCs w:val="32"/>
        </w:rPr>
        <w:t>（二）部门整体支出规模、使用方向、主要内容和涉及范围。</w:t>
      </w:r>
    </w:p>
    <w:p w14:paraId="6F968B5C">
      <w:pPr>
        <w:shd w:val="clear" w:color="auto" w:fill="FFFFFF"/>
        <w:overflowPunct w:val="0"/>
        <w:spacing w:line="630" w:lineRule="exact"/>
        <w:ind w:firstLine="640" w:firstLineChars="200"/>
        <w:rPr>
          <w:rFonts w:eastAsia="仿宋_GB2312"/>
          <w:sz w:val="32"/>
          <w:szCs w:val="32"/>
        </w:rPr>
      </w:pPr>
      <w:r>
        <w:rPr>
          <w:rFonts w:eastAsia="仿宋_GB2312"/>
          <w:sz w:val="32"/>
          <w:szCs w:val="32"/>
        </w:rPr>
        <w:t>1、关于202</w:t>
      </w:r>
      <w:r>
        <w:rPr>
          <w:rFonts w:hint="eastAsia" w:eastAsia="仿宋_GB2312"/>
          <w:sz w:val="32"/>
          <w:szCs w:val="32"/>
        </w:rPr>
        <w:t>3</w:t>
      </w:r>
      <w:r>
        <w:rPr>
          <w:rFonts w:eastAsia="仿宋_GB2312"/>
          <w:sz w:val="32"/>
          <w:szCs w:val="32"/>
        </w:rPr>
        <w:t>年整体支出规模情况。202</w:t>
      </w:r>
      <w:r>
        <w:rPr>
          <w:rFonts w:hint="eastAsia" w:eastAsia="仿宋_GB2312"/>
          <w:sz w:val="32"/>
          <w:szCs w:val="32"/>
        </w:rPr>
        <w:t>3</w:t>
      </w:r>
      <w:r>
        <w:rPr>
          <w:rFonts w:eastAsia="仿宋_GB2312"/>
          <w:sz w:val="32"/>
          <w:szCs w:val="32"/>
        </w:rPr>
        <w:t>年市工商联支出总额</w:t>
      </w:r>
      <w:r>
        <w:rPr>
          <w:rFonts w:hint="eastAsia" w:eastAsia="仿宋_GB2312"/>
          <w:sz w:val="32"/>
          <w:szCs w:val="32"/>
        </w:rPr>
        <w:t>499.62</w:t>
      </w:r>
      <w:r>
        <w:rPr>
          <w:rFonts w:eastAsia="仿宋_GB2312"/>
          <w:sz w:val="32"/>
          <w:szCs w:val="32"/>
        </w:rPr>
        <w:t>万元，比上年</w:t>
      </w:r>
      <w:r>
        <w:rPr>
          <w:rFonts w:hint="eastAsia" w:eastAsia="仿宋_GB2312"/>
          <w:sz w:val="32"/>
          <w:szCs w:val="32"/>
        </w:rPr>
        <w:t>增加111.79</w:t>
      </w:r>
      <w:r>
        <w:rPr>
          <w:rFonts w:eastAsia="仿宋_GB2312"/>
          <w:sz w:val="32"/>
          <w:szCs w:val="32"/>
        </w:rPr>
        <w:t>万元，</w:t>
      </w:r>
      <w:r>
        <w:rPr>
          <w:rFonts w:hint="eastAsia" w:eastAsia="仿宋_GB2312"/>
          <w:sz w:val="32"/>
          <w:szCs w:val="32"/>
        </w:rPr>
        <w:t>增加29</w:t>
      </w:r>
      <w:r>
        <w:rPr>
          <w:rFonts w:eastAsia="仿宋_GB2312"/>
          <w:sz w:val="32"/>
          <w:szCs w:val="32"/>
        </w:rPr>
        <w:t>%；变化的主要原因：</w:t>
      </w:r>
      <w:r>
        <w:rPr>
          <w:rFonts w:hint="eastAsia" w:eastAsia="仿宋_GB2312"/>
          <w:sz w:val="32"/>
          <w:szCs w:val="32"/>
        </w:rPr>
        <w:t>召开了第六届全球娄商大会，第三个娄商日</w:t>
      </w:r>
      <w:r>
        <w:rPr>
          <w:rFonts w:eastAsia="仿宋_GB2312"/>
          <w:sz w:val="32"/>
          <w:szCs w:val="32"/>
        </w:rPr>
        <w:t>。人员经费完</w:t>
      </w:r>
      <w:r>
        <w:rPr>
          <w:rFonts w:hint="eastAsia" w:eastAsia="仿宋_GB2312"/>
          <w:sz w:val="32"/>
          <w:szCs w:val="32"/>
        </w:rPr>
        <w:t>成222.48</w:t>
      </w:r>
      <w:r>
        <w:rPr>
          <w:rFonts w:eastAsia="仿宋_GB2312"/>
          <w:sz w:val="32"/>
          <w:szCs w:val="32"/>
        </w:rPr>
        <w:t>万元，比上年</w:t>
      </w:r>
      <w:r>
        <w:rPr>
          <w:rFonts w:hint="eastAsia" w:eastAsia="仿宋_GB2312"/>
          <w:sz w:val="32"/>
          <w:szCs w:val="32"/>
        </w:rPr>
        <w:t>减少41.84</w:t>
      </w:r>
      <w:r>
        <w:rPr>
          <w:rFonts w:eastAsia="仿宋_GB2312"/>
          <w:sz w:val="32"/>
          <w:szCs w:val="32"/>
        </w:rPr>
        <w:t>万元，</w:t>
      </w:r>
      <w:r>
        <w:rPr>
          <w:rFonts w:hint="eastAsia" w:eastAsia="仿宋_GB2312"/>
          <w:sz w:val="32"/>
          <w:szCs w:val="32"/>
        </w:rPr>
        <w:t>减少15.83</w:t>
      </w:r>
      <w:r>
        <w:rPr>
          <w:rFonts w:eastAsia="仿宋_GB2312"/>
          <w:sz w:val="32"/>
          <w:szCs w:val="32"/>
        </w:rPr>
        <w:t>%；公用经费完成</w:t>
      </w:r>
      <w:r>
        <w:rPr>
          <w:rFonts w:hint="eastAsia" w:eastAsia="仿宋_GB2312"/>
          <w:sz w:val="32"/>
          <w:szCs w:val="32"/>
        </w:rPr>
        <w:t>227.14</w:t>
      </w:r>
      <w:r>
        <w:rPr>
          <w:rFonts w:eastAsia="仿宋_GB2312"/>
          <w:sz w:val="32"/>
          <w:szCs w:val="32"/>
        </w:rPr>
        <w:t>万元，比上年</w:t>
      </w:r>
      <w:r>
        <w:rPr>
          <w:rFonts w:hint="eastAsia" w:eastAsia="仿宋_GB2312"/>
          <w:sz w:val="32"/>
          <w:szCs w:val="32"/>
        </w:rPr>
        <w:t>增加103.62</w:t>
      </w:r>
      <w:r>
        <w:rPr>
          <w:rFonts w:eastAsia="仿宋_GB2312"/>
          <w:sz w:val="32"/>
          <w:szCs w:val="32"/>
        </w:rPr>
        <w:t>万元，</w:t>
      </w:r>
      <w:r>
        <w:rPr>
          <w:rFonts w:hint="eastAsia" w:eastAsia="仿宋_GB2312"/>
          <w:sz w:val="32"/>
          <w:szCs w:val="32"/>
        </w:rPr>
        <w:t>增加83.89</w:t>
      </w:r>
      <w:r>
        <w:rPr>
          <w:rFonts w:eastAsia="仿宋_GB2312"/>
          <w:sz w:val="32"/>
          <w:szCs w:val="32"/>
        </w:rPr>
        <w:t>%。</w:t>
      </w:r>
    </w:p>
    <w:p w14:paraId="0491ED0B">
      <w:pPr>
        <w:shd w:val="clear" w:color="auto" w:fill="FFFFFF"/>
        <w:overflowPunct w:val="0"/>
        <w:spacing w:line="630" w:lineRule="exact"/>
        <w:ind w:firstLine="640" w:firstLineChars="200"/>
        <w:rPr>
          <w:rFonts w:eastAsia="仿宋_GB2312"/>
          <w:sz w:val="32"/>
          <w:szCs w:val="32"/>
        </w:rPr>
      </w:pPr>
      <w:r>
        <w:rPr>
          <w:rFonts w:eastAsia="仿宋_GB2312"/>
          <w:sz w:val="32"/>
          <w:szCs w:val="32"/>
        </w:rPr>
        <w:t>2、资金使用方向：202</w:t>
      </w:r>
      <w:r>
        <w:rPr>
          <w:rFonts w:hint="eastAsia" w:eastAsia="仿宋_GB2312"/>
          <w:sz w:val="32"/>
          <w:szCs w:val="32"/>
        </w:rPr>
        <w:t>3</w:t>
      </w:r>
      <w:r>
        <w:rPr>
          <w:rFonts w:eastAsia="仿宋_GB2312"/>
          <w:sz w:val="32"/>
          <w:szCs w:val="32"/>
        </w:rPr>
        <w:t>年度支出使用为基本支出，系保障本单位机构正常运转、完成日常工作任务而发生的各项支出，其中：用于在职人员基本工资、津贴补贴等人员经费，共计</w:t>
      </w:r>
      <w:r>
        <w:rPr>
          <w:rFonts w:hint="eastAsia" w:eastAsia="仿宋_GB2312"/>
          <w:sz w:val="32"/>
          <w:szCs w:val="32"/>
        </w:rPr>
        <w:t>222.48</w:t>
      </w:r>
      <w:r>
        <w:rPr>
          <w:rFonts w:eastAsia="仿宋_GB2312"/>
          <w:sz w:val="32"/>
          <w:szCs w:val="32"/>
        </w:rPr>
        <w:t>万元；用于办公费、印刷费、水电费、办公设备购置等日常公用经费，共计</w:t>
      </w:r>
      <w:r>
        <w:rPr>
          <w:rFonts w:hint="eastAsia" w:eastAsia="仿宋_GB2312"/>
          <w:sz w:val="32"/>
          <w:szCs w:val="32"/>
        </w:rPr>
        <w:t>227.14</w:t>
      </w:r>
      <w:r>
        <w:rPr>
          <w:rFonts w:eastAsia="仿宋_GB2312"/>
          <w:sz w:val="32"/>
          <w:szCs w:val="32"/>
        </w:rPr>
        <w:t>万元。</w:t>
      </w:r>
    </w:p>
    <w:p w14:paraId="59CA0137">
      <w:pPr>
        <w:shd w:val="clear" w:color="auto" w:fill="FFFFFF"/>
        <w:overflowPunct w:val="0"/>
        <w:spacing w:line="630" w:lineRule="exact"/>
        <w:ind w:firstLine="640" w:firstLineChars="200"/>
        <w:rPr>
          <w:rFonts w:eastAsia="仿宋_GB2312"/>
          <w:sz w:val="32"/>
          <w:szCs w:val="32"/>
        </w:rPr>
      </w:pPr>
      <w:r>
        <w:rPr>
          <w:rFonts w:eastAsia="仿宋_GB2312"/>
          <w:sz w:val="32"/>
          <w:szCs w:val="32"/>
        </w:rPr>
        <w:t>3、关于202</w:t>
      </w:r>
      <w:r>
        <w:rPr>
          <w:rFonts w:hint="eastAsia" w:eastAsia="仿宋_GB2312"/>
          <w:sz w:val="32"/>
          <w:szCs w:val="32"/>
        </w:rPr>
        <w:t>3</w:t>
      </w:r>
      <w:r>
        <w:rPr>
          <w:rFonts w:eastAsia="仿宋_GB2312"/>
          <w:sz w:val="32"/>
          <w:szCs w:val="32"/>
        </w:rPr>
        <w:t>年度</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经费决算情况。</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经费支出合计</w:t>
      </w:r>
      <w:r>
        <w:rPr>
          <w:rFonts w:hint="eastAsia" w:eastAsia="仿宋_GB2312"/>
          <w:sz w:val="32"/>
          <w:szCs w:val="32"/>
        </w:rPr>
        <w:t>8.55</w:t>
      </w:r>
      <w:r>
        <w:rPr>
          <w:rFonts w:eastAsia="仿宋_GB2312"/>
          <w:sz w:val="32"/>
          <w:szCs w:val="32"/>
        </w:rPr>
        <w:t>万元，比上年</w:t>
      </w:r>
      <w:r>
        <w:rPr>
          <w:rFonts w:hint="eastAsia" w:eastAsia="仿宋_GB2312"/>
          <w:sz w:val="32"/>
          <w:szCs w:val="32"/>
        </w:rPr>
        <w:t>增加1.32</w:t>
      </w:r>
      <w:r>
        <w:rPr>
          <w:rFonts w:eastAsia="仿宋_GB2312"/>
          <w:sz w:val="32"/>
          <w:szCs w:val="32"/>
        </w:rPr>
        <w:t>万元，</w:t>
      </w:r>
      <w:r>
        <w:rPr>
          <w:rFonts w:hint="eastAsia" w:eastAsia="仿宋_GB2312"/>
          <w:sz w:val="32"/>
          <w:szCs w:val="32"/>
        </w:rPr>
        <w:t>增加18.26</w:t>
      </w:r>
      <w:r>
        <w:rPr>
          <w:rFonts w:eastAsia="仿宋_GB2312"/>
          <w:sz w:val="32"/>
          <w:szCs w:val="32"/>
        </w:rPr>
        <w:t>%，</w:t>
      </w:r>
      <w:r>
        <w:rPr>
          <w:rFonts w:hint="eastAsia" w:eastAsia="仿宋_GB2312"/>
          <w:sz w:val="32"/>
          <w:szCs w:val="32"/>
        </w:rPr>
        <w:t>增加</w:t>
      </w:r>
      <w:r>
        <w:rPr>
          <w:rFonts w:eastAsia="仿宋_GB2312"/>
          <w:sz w:val="32"/>
          <w:szCs w:val="32"/>
        </w:rPr>
        <w:t>的主要原因是：</w:t>
      </w:r>
      <w:r>
        <w:rPr>
          <w:rFonts w:hint="eastAsia" w:eastAsia="仿宋_GB2312"/>
          <w:sz w:val="32"/>
          <w:szCs w:val="32"/>
        </w:rPr>
        <w:t>第六届全球娄商大会和娄商日召开，娄商联络增加</w:t>
      </w:r>
      <w:r>
        <w:rPr>
          <w:rFonts w:eastAsia="仿宋_GB2312"/>
          <w:sz w:val="32"/>
          <w:szCs w:val="32"/>
        </w:rPr>
        <w:t>等。</w:t>
      </w:r>
    </w:p>
    <w:p w14:paraId="5276B302">
      <w:pPr>
        <w:shd w:val="clear" w:color="auto" w:fill="FFFFFF"/>
        <w:overflowPunct w:val="0"/>
        <w:spacing w:line="630" w:lineRule="exact"/>
        <w:ind w:firstLine="640" w:firstLineChars="200"/>
        <w:rPr>
          <w:rFonts w:eastAsia="仿宋_GB2312"/>
          <w:sz w:val="32"/>
          <w:szCs w:val="32"/>
        </w:rPr>
      </w:pPr>
      <w:r>
        <w:rPr>
          <w:rFonts w:eastAsia="仿宋_GB2312"/>
          <w:sz w:val="32"/>
          <w:szCs w:val="32"/>
        </w:rPr>
        <w:t>4、关于202</w:t>
      </w:r>
      <w:r>
        <w:rPr>
          <w:rFonts w:hint="eastAsia" w:eastAsia="仿宋_GB2312"/>
          <w:sz w:val="32"/>
          <w:szCs w:val="32"/>
        </w:rPr>
        <w:t>3</w:t>
      </w:r>
      <w:r>
        <w:rPr>
          <w:rFonts w:eastAsia="仿宋_GB2312"/>
          <w:sz w:val="32"/>
          <w:szCs w:val="32"/>
        </w:rPr>
        <w:t>年财政拨款收支预算情况总体说明。202</w:t>
      </w:r>
      <w:r>
        <w:rPr>
          <w:rFonts w:hint="eastAsia" w:eastAsia="仿宋_GB2312"/>
          <w:sz w:val="32"/>
          <w:szCs w:val="32"/>
        </w:rPr>
        <w:t>3</w:t>
      </w:r>
      <w:r>
        <w:rPr>
          <w:rFonts w:eastAsia="仿宋_GB2312"/>
          <w:sz w:val="32"/>
          <w:szCs w:val="32"/>
        </w:rPr>
        <w:t>年，财政拨款</w:t>
      </w:r>
      <w:r>
        <w:rPr>
          <w:rFonts w:hint="eastAsia" w:eastAsia="仿宋_GB2312"/>
          <w:sz w:val="32"/>
          <w:szCs w:val="32"/>
        </w:rPr>
        <w:t>482,24</w:t>
      </w:r>
      <w:r>
        <w:rPr>
          <w:rFonts w:eastAsia="仿宋_GB2312"/>
          <w:sz w:val="32"/>
          <w:szCs w:val="32"/>
        </w:rPr>
        <w:t>万元，比上年增加</w:t>
      </w:r>
      <w:r>
        <w:rPr>
          <w:rFonts w:hint="eastAsia" w:eastAsia="仿宋_GB2312"/>
          <w:sz w:val="32"/>
          <w:szCs w:val="32"/>
        </w:rPr>
        <w:t>,104.75</w:t>
      </w:r>
      <w:r>
        <w:rPr>
          <w:rFonts w:eastAsia="仿宋_GB2312"/>
          <w:sz w:val="32"/>
          <w:szCs w:val="32"/>
        </w:rPr>
        <w:t>万元，增加</w:t>
      </w:r>
      <w:r>
        <w:rPr>
          <w:rFonts w:hint="eastAsia" w:eastAsia="仿宋_GB2312"/>
          <w:sz w:val="32"/>
          <w:szCs w:val="32"/>
        </w:rPr>
        <w:t>27.79</w:t>
      </w:r>
      <w:r>
        <w:rPr>
          <w:rFonts w:eastAsia="仿宋_GB2312"/>
          <w:sz w:val="32"/>
          <w:szCs w:val="32"/>
        </w:rPr>
        <w:t>%，主要原因是：</w:t>
      </w:r>
      <w:r>
        <w:rPr>
          <w:rFonts w:hint="eastAsia" w:eastAsia="仿宋_GB2312"/>
          <w:sz w:val="32"/>
          <w:szCs w:val="32"/>
        </w:rPr>
        <w:t>召开了第六届全球娄商大会，第三个娄商日</w:t>
      </w:r>
      <w:r>
        <w:rPr>
          <w:rFonts w:eastAsia="仿宋_GB2312"/>
          <w:sz w:val="32"/>
          <w:szCs w:val="32"/>
        </w:rPr>
        <w:t>。</w:t>
      </w:r>
    </w:p>
    <w:p w14:paraId="2C11FE17">
      <w:pPr>
        <w:shd w:val="clear" w:color="auto" w:fill="FFFFFF"/>
        <w:overflowPunct w:val="0"/>
        <w:spacing w:line="630" w:lineRule="exact"/>
        <w:ind w:firstLine="640" w:firstLineChars="200"/>
        <w:rPr>
          <w:rFonts w:eastAsia="仿宋_GB2312"/>
          <w:sz w:val="32"/>
          <w:szCs w:val="32"/>
        </w:rPr>
      </w:pPr>
      <w:r>
        <w:rPr>
          <w:rFonts w:eastAsia="仿宋_GB2312"/>
          <w:sz w:val="32"/>
          <w:szCs w:val="32"/>
        </w:rPr>
        <w:t xml:space="preserve"> 5、关于202</w:t>
      </w:r>
      <w:r>
        <w:rPr>
          <w:rFonts w:hint="eastAsia" w:eastAsia="仿宋_GB2312"/>
          <w:sz w:val="32"/>
          <w:szCs w:val="32"/>
        </w:rPr>
        <w:t>3</w:t>
      </w:r>
      <w:r>
        <w:rPr>
          <w:rFonts w:eastAsia="仿宋_GB2312"/>
          <w:sz w:val="32"/>
          <w:szCs w:val="32"/>
        </w:rPr>
        <w:t>年政府性基金预算支出情况的说明。市工商联没有使用政府性基金预算支出。</w:t>
      </w:r>
    </w:p>
    <w:p w14:paraId="43D295BE">
      <w:pPr>
        <w:overflowPunct w:val="0"/>
        <w:autoSpaceDN w:val="0"/>
        <w:spacing w:line="630" w:lineRule="exact"/>
        <w:ind w:firstLine="640"/>
        <w:rPr>
          <w:rFonts w:eastAsia="黑体"/>
          <w:color w:val="000000"/>
          <w:kern w:val="0"/>
          <w:sz w:val="32"/>
          <w:szCs w:val="32"/>
        </w:rPr>
      </w:pPr>
      <w:r>
        <w:rPr>
          <w:rFonts w:eastAsia="黑体"/>
          <w:color w:val="000000"/>
          <w:kern w:val="0"/>
          <w:sz w:val="32"/>
          <w:szCs w:val="32"/>
        </w:rPr>
        <w:t>二、一般公共预算支出情况</w:t>
      </w:r>
    </w:p>
    <w:p w14:paraId="2309BADE">
      <w:pPr>
        <w:shd w:val="clear" w:color="auto" w:fill="FFFFFF"/>
        <w:overflowPunct w:val="0"/>
        <w:spacing w:line="630" w:lineRule="exact"/>
        <w:ind w:firstLine="640" w:firstLineChars="200"/>
        <w:rPr>
          <w:rFonts w:eastAsia="仿宋_GB2312"/>
          <w:sz w:val="32"/>
          <w:szCs w:val="32"/>
        </w:rPr>
      </w:pPr>
      <w:r>
        <w:rPr>
          <w:rFonts w:eastAsia="仿宋_GB2312"/>
          <w:sz w:val="32"/>
          <w:szCs w:val="32"/>
        </w:rPr>
        <w:t>（一）基本支出情况</w:t>
      </w:r>
    </w:p>
    <w:p w14:paraId="22821E49">
      <w:pPr>
        <w:shd w:val="clear" w:color="auto" w:fill="FFFFFF"/>
        <w:overflowPunct w:val="0"/>
        <w:spacing w:line="630" w:lineRule="exact"/>
        <w:ind w:firstLine="640" w:firstLineChars="200"/>
        <w:rPr>
          <w:rFonts w:eastAsia="仿宋_GB2312"/>
          <w:sz w:val="32"/>
          <w:szCs w:val="32"/>
        </w:rPr>
      </w:pPr>
      <w:r>
        <w:rPr>
          <w:rFonts w:eastAsia="仿宋_GB2312"/>
          <w:sz w:val="32"/>
          <w:szCs w:val="32"/>
        </w:rPr>
        <w:t>本支出系保障我会机构正常运转、完成日常工作任务而发生的各项支出，包括用于在职和离退休人员基本工资、津贴补贴等人员经费以及办公费、印刷费、水电费、办公设备购置等日常公用经费。202</w:t>
      </w:r>
      <w:r>
        <w:rPr>
          <w:rFonts w:hint="eastAsia" w:eastAsia="仿宋_GB2312"/>
          <w:sz w:val="32"/>
          <w:szCs w:val="32"/>
        </w:rPr>
        <w:t>3</w:t>
      </w:r>
      <w:r>
        <w:rPr>
          <w:rFonts w:eastAsia="仿宋_GB2312"/>
          <w:sz w:val="32"/>
          <w:szCs w:val="32"/>
        </w:rPr>
        <w:t>年市工商联支出总额</w:t>
      </w:r>
      <w:r>
        <w:rPr>
          <w:rFonts w:hint="eastAsia" w:eastAsia="仿宋_GB2312"/>
          <w:sz w:val="32"/>
          <w:szCs w:val="32"/>
        </w:rPr>
        <w:t>499.62</w:t>
      </w:r>
      <w:r>
        <w:rPr>
          <w:rFonts w:eastAsia="仿宋_GB2312"/>
          <w:sz w:val="32"/>
          <w:szCs w:val="32"/>
        </w:rPr>
        <w:t>万元，比上年</w:t>
      </w:r>
      <w:r>
        <w:rPr>
          <w:rFonts w:hint="eastAsia" w:eastAsia="仿宋_GB2312"/>
          <w:sz w:val="32"/>
          <w:szCs w:val="32"/>
        </w:rPr>
        <w:t>增加111.79</w:t>
      </w:r>
      <w:r>
        <w:rPr>
          <w:rFonts w:eastAsia="仿宋_GB2312"/>
          <w:sz w:val="32"/>
          <w:szCs w:val="32"/>
        </w:rPr>
        <w:t>万元，</w:t>
      </w:r>
      <w:r>
        <w:rPr>
          <w:rFonts w:hint="eastAsia" w:eastAsia="仿宋_GB2312"/>
          <w:sz w:val="32"/>
          <w:szCs w:val="32"/>
        </w:rPr>
        <w:t>增加29</w:t>
      </w:r>
      <w:r>
        <w:rPr>
          <w:rFonts w:eastAsia="仿宋_GB2312"/>
          <w:sz w:val="32"/>
          <w:szCs w:val="32"/>
        </w:rPr>
        <w:t>%；变化的主要原因：</w:t>
      </w:r>
      <w:r>
        <w:rPr>
          <w:rFonts w:hint="eastAsia" w:eastAsia="仿宋_GB2312"/>
          <w:sz w:val="32"/>
          <w:szCs w:val="32"/>
        </w:rPr>
        <w:t>召开了第六届全球娄商大会，第三个娄商日</w:t>
      </w:r>
      <w:r>
        <w:rPr>
          <w:rFonts w:eastAsia="仿宋_GB2312"/>
          <w:sz w:val="32"/>
          <w:szCs w:val="32"/>
        </w:rPr>
        <w:t>。人员经费完</w:t>
      </w:r>
      <w:r>
        <w:rPr>
          <w:rFonts w:hint="eastAsia" w:eastAsia="仿宋_GB2312"/>
          <w:sz w:val="32"/>
          <w:szCs w:val="32"/>
        </w:rPr>
        <w:t>成222.48</w:t>
      </w:r>
      <w:r>
        <w:rPr>
          <w:rFonts w:eastAsia="仿宋_GB2312"/>
          <w:sz w:val="32"/>
          <w:szCs w:val="32"/>
        </w:rPr>
        <w:t>万元，比上年</w:t>
      </w:r>
      <w:r>
        <w:rPr>
          <w:rFonts w:hint="eastAsia" w:eastAsia="仿宋_GB2312"/>
          <w:sz w:val="32"/>
          <w:szCs w:val="32"/>
        </w:rPr>
        <w:t>减少41.84</w:t>
      </w:r>
      <w:r>
        <w:rPr>
          <w:rFonts w:eastAsia="仿宋_GB2312"/>
          <w:sz w:val="32"/>
          <w:szCs w:val="32"/>
        </w:rPr>
        <w:t>万元，</w:t>
      </w:r>
      <w:r>
        <w:rPr>
          <w:rFonts w:hint="eastAsia" w:eastAsia="仿宋_GB2312"/>
          <w:sz w:val="32"/>
          <w:szCs w:val="32"/>
        </w:rPr>
        <w:t>减少15.83</w:t>
      </w:r>
      <w:r>
        <w:rPr>
          <w:rFonts w:eastAsia="仿宋_GB2312"/>
          <w:sz w:val="32"/>
          <w:szCs w:val="32"/>
        </w:rPr>
        <w:t>%；公用经费完成</w:t>
      </w:r>
      <w:r>
        <w:rPr>
          <w:rFonts w:hint="eastAsia" w:eastAsia="仿宋_GB2312"/>
          <w:sz w:val="32"/>
          <w:szCs w:val="32"/>
        </w:rPr>
        <w:t>227.14</w:t>
      </w:r>
      <w:r>
        <w:rPr>
          <w:rFonts w:eastAsia="仿宋_GB2312"/>
          <w:sz w:val="32"/>
          <w:szCs w:val="32"/>
        </w:rPr>
        <w:t>万元，比上年</w:t>
      </w:r>
      <w:r>
        <w:rPr>
          <w:rFonts w:hint="eastAsia" w:eastAsia="仿宋_GB2312"/>
          <w:sz w:val="32"/>
          <w:szCs w:val="32"/>
        </w:rPr>
        <w:t>增加103.62</w:t>
      </w:r>
      <w:r>
        <w:rPr>
          <w:rFonts w:eastAsia="仿宋_GB2312"/>
          <w:sz w:val="32"/>
          <w:szCs w:val="32"/>
        </w:rPr>
        <w:t>万元，</w:t>
      </w:r>
      <w:r>
        <w:rPr>
          <w:rFonts w:hint="eastAsia" w:eastAsia="仿宋_GB2312"/>
          <w:sz w:val="32"/>
          <w:szCs w:val="32"/>
        </w:rPr>
        <w:t>增加83.89</w:t>
      </w:r>
      <w:r>
        <w:rPr>
          <w:rFonts w:eastAsia="仿宋_GB2312"/>
          <w:sz w:val="32"/>
          <w:szCs w:val="32"/>
        </w:rPr>
        <w:t>%。</w:t>
      </w:r>
    </w:p>
    <w:p w14:paraId="645C372E">
      <w:pPr>
        <w:shd w:val="clear" w:color="auto" w:fill="FFFFFF"/>
        <w:overflowPunct w:val="0"/>
        <w:spacing w:line="630" w:lineRule="exact"/>
        <w:ind w:firstLine="640" w:firstLineChars="200"/>
        <w:rPr>
          <w:rFonts w:eastAsia="楷体_GB2312"/>
          <w:bCs/>
          <w:sz w:val="32"/>
          <w:szCs w:val="32"/>
        </w:rPr>
      </w:pPr>
      <w:r>
        <w:rPr>
          <w:rFonts w:eastAsia="楷体_GB2312"/>
          <w:bCs/>
          <w:sz w:val="32"/>
          <w:szCs w:val="32"/>
        </w:rPr>
        <w:t>（二）项目支出情况</w:t>
      </w:r>
    </w:p>
    <w:p w14:paraId="4A952484">
      <w:pPr>
        <w:shd w:val="clear" w:color="auto" w:fill="FFFFFF"/>
        <w:overflowPunct w:val="0"/>
        <w:spacing w:line="630" w:lineRule="exact"/>
        <w:ind w:firstLine="640" w:firstLineChars="200"/>
        <w:rPr>
          <w:rFonts w:eastAsia="仿宋_GB2312"/>
          <w:sz w:val="32"/>
          <w:szCs w:val="32"/>
        </w:rPr>
      </w:pPr>
      <w:r>
        <w:rPr>
          <w:rFonts w:eastAsia="仿宋_GB2312"/>
          <w:sz w:val="32"/>
          <w:szCs w:val="32"/>
        </w:rPr>
        <w:t>无</w:t>
      </w:r>
    </w:p>
    <w:p w14:paraId="6EE159AC">
      <w:pPr>
        <w:overflowPunct w:val="0"/>
        <w:autoSpaceDN w:val="0"/>
        <w:spacing w:line="630" w:lineRule="exact"/>
        <w:ind w:firstLine="640" w:firstLineChars="200"/>
        <w:rPr>
          <w:rFonts w:eastAsia="黑体"/>
          <w:color w:val="000000"/>
          <w:kern w:val="0"/>
          <w:sz w:val="32"/>
          <w:szCs w:val="32"/>
        </w:rPr>
      </w:pPr>
      <w:r>
        <w:rPr>
          <w:rFonts w:eastAsia="黑体"/>
          <w:color w:val="000000"/>
          <w:kern w:val="0"/>
          <w:sz w:val="32"/>
          <w:szCs w:val="32"/>
        </w:rPr>
        <w:t>三、部门整体支出绩效情况</w:t>
      </w:r>
    </w:p>
    <w:p w14:paraId="17ABDB97">
      <w:pPr>
        <w:shd w:val="clear" w:color="auto" w:fill="FFFFFF"/>
        <w:overflowPunct w:val="0"/>
        <w:spacing w:line="630" w:lineRule="exact"/>
        <w:ind w:firstLine="640" w:firstLineChars="200"/>
        <w:rPr>
          <w:rFonts w:eastAsia="仿宋_GB2312"/>
          <w:sz w:val="32"/>
          <w:szCs w:val="32"/>
        </w:rPr>
      </w:pPr>
      <w:r>
        <w:rPr>
          <w:rFonts w:eastAsia="仿宋_GB2312"/>
          <w:sz w:val="32"/>
          <w:szCs w:val="32"/>
        </w:rPr>
        <w:t>（一）202</w:t>
      </w:r>
      <w:r>
        <w:rPr>
          <w:rFonts w:hint="eastAsia" w:eastAsia="仿宋_GB2312"/>
          <w:sz w:val="32"/>
          <w:szCs w:val="32"/>
        </w:rPr>
        <w:t>3</w:t>
      </w:r>
      <w:r>
        <w:rPr>
          <w:rFonts w:eastAsia="仿宋_GB2312"/>
          <w:sz w:val="32"/>
          <w:szCs w:val="32"/>
        </w:rPr>
        <w:t>年部门预算支出绩效目标实现情况，实现产出和取得效益情况</w:t>
      </w:r>
    </w:p>
    <w:p w14:paraId="680C488F">
      <w:pPr>
        <w:shd w:val="clear" w:color="auto" w:fill="FFFFFF"/>
        <w:overflowPunct w:val="0"/>
        <w:spacing w:line="63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年，市工商联在收支预算内，完成了以下整体目标：</w:t>
      </w:r>
    </w:p>
    <w:p w14:paraId="49E8D809">
      <w:pPr>
        <w:shd w:val="clear" w:color="auto" w:fill="FFFFFF"/>
        <w:overflowPunct w:val="0"/>
        <w:spacing w:line="630" w:lineRule="exact"/>
        <w:ind w:firstLine="640" w:firstLineChars="200"/>
        <w:rPr>
          <w:rFonts w:eastAsia="仿宋_GB2312"/>
          <w:sz w:val="32"/>
          <w:szCs w:val="32"/>
        </w:rPr>
      </w:pPr>
      <w:r>
        <w:rPr>
          <w:rFonts w:eastAsia="仿宋_GB2312"/>
          <w:sz w:val="32"/>
          <w:szCs w:val="32"/>
        </w:rPr>
        <w:t>目标1：保障工商联机关及直属事业单位机构正常运转，完成日常工作任务而发生的各项支出。</w:t>
      </w:r>
    </w:p>
    <w:p w14:paraId="4220A5EA">
      <w:pPr>
        <w:shd w:val="clear" w:color="auto" w:fill="FFFFFF"/>
        <w:overflowPunct w:val="0"/>
        <w:spacing w:line="630" w:lineRule="exact"/>
        <w:ind w:firstLine="640" w:firstLineChars="200"/>
        <w:rPr>
          <w:rFonts w:eastAsia="仿宋_GB2312"/>
          <w:sz w:val="32"/>
          <w:szCs w:val="32"/>
        </w:rPr>
      </w:pPr>
      <w:r>
        <w:rPr>
          <w:rFonts w:eastAsia="仿宋_GB2312"/>
          <w:sz w:val="32"/>
          <w:szCs w:val="32"/>
        </w:rPr>
        <w:t>完成情况：完成日常工作任务而发生的各项支出，主要包括用于干部职工基本工资、津贴补贴等人员经费以及办公费、印刷费、水电费、物业管理、办公设备购置、车辆运行、出差、会议、培训等。</w:t>
      </w:r>
    </w:p>
    <w:p w14:paraId="646AD6A2">
      <w:pPr>
        <w:shd w:val="clear" w:color="auto" w:fill="FFFFFF"/>
        <w:overflowPunct w:val="0"/>
        <w:spacing w:line="630" w:lineRule="exact"/>
        <w:ind w:firstLine="640" w:firstLineChars="200"/>
        <w:rPr>
          <w:rFonts w:eastAsia="仿宋_GB2312"/>
          <w:sz w:val="32"/>
          <w:szCs w:val="32"/>
        </w:rPr>
      </w:pPr>
      <w:r>
        <w:rPr>
          <w:rFonts w:eastAsia="仿宋_GB2312"/>
          <w:sz w:val="32"/>
          <w:szCs w:val="32"/>
        </w:rPr>
        <w:t>效果：完成全年目标任务</w:t>
      </w:r>
    </w:p>
    <w:p w14:paraId="2BFA2B77">
      <w:pPr>
        <w:shd w:val="clear" w:color="auto" w:fill="FFFFFF"/>
        <w:overflowPunct w:val="0"/>
        <w:spacing w:line="630" w:lineRule="exact"/>
        <w:ind w:firstLine="640" w:firstLineChars="200"/>
        <w:rPr>
          <w:rFonts w:eastAsia="仿宋_GB2312"/>
          <w:sz w:val="32"/>
          <w:szCs w:val="32"/>
        </w:rPr>
      </w:pPr>
      <w:r>
        <w:rPr>
          <w:rFonts w:eastAsia="仿宋_GB2312"/>
          <w:sz w:val="32"/>
          <w:szCs w:val="32"/>
        </w:rPr>
        <w:t>目标2：培育特色商协会组织，筑牢党建基础。</w:t>
      </w:r>
    </w:p>
    <w:p w14:paraId="4D4084F4">
      <w:pPr>
        <w:overflowPunct w:val="0"/>
        <w:spacing w:line="630" w:lineRule="exact"/>
        <w:ind w:firstLine="640" w:firstLineChars="200"/>
        <w:rPr>
          <w:rFonts w:eastAsia="仿宋_GB2312"/>
          <w:sz w:val="32"/>
          <w:szCs w:val="32"/>
        </w:rPr>
      </w:pPr>
      <w:r>
        <w:rPr>
          <w:rFonts w:eastAsia="仿宋_GB2312"/>
          <w:sz w:val="32"/>
          <w:szCs w:val="32"/>
        </w:rPr>
        <w:t>完成情况：坚持把加强党支部建设与商协会党组织建设摆在十分重要位置，按照</w:t>
      </w:r>
      <w:r>
        <w:rPr>
          <w:rFonts w:hint="eastAsia" w:eastAsia="仿宋_GB2312"/>
          <w:sz w:val="32"/>
          <w:szCs w:val="32"/>
        </w:rPr>
        <w:t>“</w:t>
      </w:r>
      <w:r>
        <w:rPr>
          <w:rFonts w:eastAsia="仿宋_GB2312"/>
          <w:sz w:val="32"/>
          <w:szCs w:val="32"/>
        </w:rPr>
        <w:t>商会和商会党组织同步筹备同步建立</w:t>
      </w:r>
      <w:r>
        <w:rPr>
          <w:rFonts w:hint="eastAsia" w:eastAsia="仿宋_GB2312"/>
          <w:sz w:val="32"/>
          <w:szCs w:val="32"/>
        </w:rPr>
        <w:t>”</w:t>
      </w:r>
      <w:r>
        <w:rPr>
          <w:rFonts w:eastAsia="仿宋_GB2312"/>
          <w:sz w:val="32"/>
          <w:szCs w:val="32"/>
        </w:rPr>
        <w:t>的原则，至今市直管商协会20家，成立商协会党组织20个，党建已入章程的党组织20家，商协会党员共220名，真正实现了党的组织和党的工作达到100%覆盖。通过</w:t>
      </w:r>
      <w:r>
        <w:rPr>
          <w:rFonts w:hint="eastAsia" w:eastAsia="仿宋_GB2312"/>
          <w:sz w:val="32"/>
          <w:szCs w:val="32"/>
        </w:rPr>
        <w:t>“</w:t>
      </w:r>
      <w:r>
        <w:rPr>
          <w:rFonts w:eastAsia="仿宋_GB2312"/>
          <w:sz w:val="32"/>
          <w:szCs w:val="32"/>
        </w:rPr>
        <w:t>商协会会长、秘书长工作群</w:t>
      </w:r>
      <w:r>
        <w:rPr>
          <w:rFonts w:hint="eastAsia" w:eastAsia="仿宋_GB2312"/>
          <w:sz w:val="32"/>
          <w:szCs w:val="32"/>
        </w:rPr>
        <w:t>”“</w:t>
      </w:r>
      <w:r>
        <w:rPr>
          <w:rFonts w:eastAsia="仿宋_GB2312"/>
          <w:sz w:val="32"/>
          <w:szCs w:val="32"/>
        </w:rPr>
        <w:t>商协会党委工作群</w:t>
      </w:r>
      <w:r>
        <w:rPr>
          <w:rFonts w:hint="eastAsia" w:eastAsia="仿宋_GB2312"/>
          <w:sz w:val="32"/>
          <w:szCs w:val="32"/>
        </w:rPr>
        <w:t>”“</w:t>
      </w:r>
      <w:r>
        <w:rPr>
          <w:rFonts w:eastAsia="仿宋_GB2312"/>
          <w:sz w:val="32"/>
          <w:szCs w:val="32"/>
        </w:rPr>
        <w:t>商会会员群</w:t>
      </w:r>
      <w:r>
        <w:rPr>
          <w:rFonts w:hint="eastAsia" w:eastAsia="仿宋_GB2312"/>
          <w:sz w:val="32"/>
          <w:szCs w:val="32"/>
        </w:rPr>
        <w:t>”“</w:t>
      </w:r>
      <w:r>
        <w:rPr>
          <w:rFonts w:eastAsia="仿宋_GB2312"/>
          <w:sz w:val="32"/>
          <w:szCs w:val="32"/>
        </w:rPr>
        <w:t>商会党员群</w:t>
      </w:r>
      <w:r>
        <w:rPr>
          <w:rFonts w:hint="eastAsia" w:eastAsia="仿宋_GB2312"/>
          <w:sz w:val="32"/>
          <w:szCs w:val="32"/>
        </w:rPr>
        <w:t>”</w:t>
      </w:r>
      <w:r>
        <w:rPr>
          <w:rFonts w:eastAsia="仿宋_GB2312"/>
          <w:sz w:val="32"/>
          <w:szCs w:val="32"/>
        </w:rPr>
        <w:t>等载体，组织各商会和党组织深入开展党的二十大精神宣传活动，广泛开展</w:t>
      </w:r>
      <w:r>
        <w:rPr>
          <w:rFonts w:hint="eastAsia" w:eastAsia="仿宋_GB2312"/>
          <w:sz w:val="32"/>
          <w:szCs w:val="32"/>
        </w:rPr>
        <w:t>“</w:t>
      </w:r>
      <w:r>
        <w:rPr>
          <w:rFonts w:eastAsia="仿宋_GB2312"/>
          <w:sz w:val="32"/>
          <w:szCs w:val="32"/>
        </w:rPr>
        <w:t>一月一课一片一实践</w:t>
      </w:r>
      <w:r>
        <w:rPr>
          <w:rFonts w:hint="eastAsia" w:eastAsia="仿宋_GB2312"/>
          <w:sz w:val="32"/>
          <w:szCs w:val="32"/>
        </w:rPr>
        <w:t>”</w:t>
      </w:r>
      <w:r>
        <w:rPr>
          <w:rFonts w:eastAsia="仿宋_GB2312"/>
          <w:sz w:val="32"/>
          <w:szCs w:val="32"/>
        </w:rPr>
        <w:t>主题党日活动，深入开展</w:t>
      </w:r>
      <w:r>
        <w:rPr>
          <w:rFonts w:hint="eastAsia" w:eastAsia="仿宋_GB2312"/>
          <w:sz w:val="32"/>
          <w:szCs w:val="32"/>
        </w:rPr>
        <w:t>“</w:t>
      </w:r>
      <w:r>
        <w:rPr>
          <w:rFonts w:eastAsia="仿宋_GB2312"/>
          <w:sz w:val="32"/>
          <w:szCs w:val="32"/>
        </w:rPr>
        <w:t>市级标杆党组织</w:t>
      </w:r>
      <w:r>
        <w:rPr>
          <w:rFonts w:hint="eastAsia" w:eastAsia="仿宋_GB2312"/>
          <w:sz w:val="32"/>
          <w:szCs w:val="32"/>
        </w:rPr>
        <w:t>”</w:t>
      </w:r>
      <w:r>
        <w:rPr>
          <w:rFonts w:eastAsia="仿宋_GB2312"/>
          <w:sz w:val="32"/>
          <w:szCs w:val="32"/>
        </w:rPr>
        <w:t>创建活动，引导广大党员与非公经济人士听党话，感党恩，紧跟党走。</w:t>
      </w:r>
    </w:p>
    <w:p w14:paraId="5CAF6725">
      <w:pPr>
        <w:shd w:val="clear" w:color="auto" w:fill="FFFFFF"/>
        <w:overflowPunct w:val="0"/>
        <w:spacing w:line="630" w:lineRule="exact"/>
        <w:ind w:firstLine="640" w:firstLineChars="200"/>
        <w:rPr>
          <w:rFonts w:eastAsia="仿宋_GB2312"/>
          <w:sz w:val="32"/>
          <w:szCs w:val="32"/>
        </w:rPr>
      </w:pPr>
      <w:r>
        <w:rPr>
          <w:rFonts w:eastAsia="仿宋_GB2312"/>
          <w:sz w:val="32"/>
          <w:szCs w:val="32"/>
        </w:rPr>
        <w:t>效果：基层组织不断扩大，组织凝聚力不断加强。</w:t>
      </w:r>
    </w:p>
    <w:p w14:paraId="4347D9C3">
      <w:pPr>
        <w:shd w:val="clear" w:color="auto" w:fill="FFFFFF"/>
        <w:overflowPunct w:val="0"/>
        <w:spacing w:line="630" w:lineRule="exact"/>
        <w:ind w:firstLine="640" w:firstLineChars="200"/>
        <w:rPr>
          <w:rFonts w:eastAsia="仿宋_GB2312"/>
          <w:sz w:val="32"/>
          <w:szCs w:val="32"/>
        </w:rPr>
      </w:pPr>
      <w:r>
        <w:rPr>
          <w:rFonts w:eastAsia="仿宋_GB2312"/>
          <w:sz w:val="32"/>
          <w:szCs w:val="32"/>
        </w:rPr>
        <w:t>目标3：强化组织建设，加强非公经济人士培训。</w:t>
      </w:r>
    </w:p>
    <w:p w14:paraId="754EDFCF">
      <w:pPr>
        <w:overflowPunct w:val="0"/>
        <w:spacing w:line="660" w:lineRule="exact"/>
        <w:ind w:firstLine="640" w:firstLineChars="200"/>
        <w:rPr>
          <w:rFonts w:eastAsia="仿宋_GB2312"/>
          <w:sz w:val="32"/>
          <w:szCs w:val="32"/>
        </w:rPr>
      </w:pPr>
      <w:r>
        <w:rPr>
          <w:rFonts w:eastAsia="仿宋_GB2312"/>
          <w:sz w:val="32"/>
          <w:szCs w:val="32"/>
        </w:rPr>
        <w:t>完成情况：</w:t>
      </w:r>
      <w:r>
        <w:rPr>
          <w:rFonts w:eastAsia="仿宋_GB2312"/>
          <w:b/>
          <w:bCs/>
          <w:sz w:val="32"/>
          <w:szCs w:val="32"/>
        </w:rPr>
        <w:t>一是组织召开执委会。</w:t>
      </w:r>
      <w:r>
        <w:rPr>
          <w:rFonts w:eastAsia="仿宋_GB2312"/>
          <w:sz w:val="32"/>
          <w:szCs w:val="32"/>
        </w:rPr>
        <w:t>严格按相关要求和工作程序，筹备好工商联（总商会）第五届二次执委会议人事增补工作，推动领导班子和执常委组织结构更趋合理，为全市工商联事业注入了新鲜血液，增添了新的实力和活力。进一步优化了县市区工商联领导班子结构，强化了县级工商联组织建设。成功推荐了三一、蓝思科技、大汉、博长、五江等5家娄商企业入围2022三湘民营企业百强榜前十强。加快推进</w:t>
      </w:r>
      <w:r>
        <w:rPr>
          <w:rFonts w:hint="eastAsia" w:eastAsia="仿宋_GB2312"/>
          <w:sz w:val="32"/>
          <w:szCs w:val="32"/>
        </w:rPr>
        <w:t>“</w:t>
      </w:r>
      <w:r>
        <w:rPr>
          <w:rFonts w:eastAsia="仿宋_GB2312"/>
          <w:sz w:val="32"/>
          <w:szCs w:val="32"/>
        </w:rPr>
        <w:t>智赋万企</w:t>
      </w:r>
      <w:r>
        <w:rPr>
          <w:rFonts w:hint="eastAsia" w:eastAsia="仿宋_GB2312"/>
          <w:sz w:val="32"/>
          <w:szCs w:val="32"/>
        </w:rPr>
        <w:t>”</w:t>
      </w:r>
      <w:r>
        <w:rPr>
          <w:rFonts w:eastAsia="仿宋_GB2312"/>
          <w:sz w:val="32"/>
          <w:szCs w:val="32"/>
        </w:rPr>
        <w:t>行动走深走实，4家企业被推选为标杆示范企业。</w:t>
      </w:r>
      <w:r>
        <w:rPr>
          <w:rFonts w:eastAsia="仿宋_GB2312"/>
          <w:b/>
          <w:bCs/>
          <w:sz w:val="32"/>
          <w:szCs w:val="32"/>
        </w:rPr>
        <w:t>二是培育特色商协会组织。</w:t>
      </w:r>
      <w:r>
        <w:rPr>
          <w:rFonts w:eastAsia="仿宋_GB2312"/>
          <w:sz w:val="32"/>
          <w:szCs w:val="32"/>
        </w:rPr>
        <w:t>深入贯彻落实中央统战工作条例有关要求，推进统战工作向商会组织有效覆盖。指导各商会办好年会、落实消费扶贫、助力乡村振兴。组织商协会积极参与省联举办的法律知识讲座，增强法律意识，提高防范风险的能力。组织商会企业参与省首届职业经理人管理技能创新大赛，娄底市利通磁电科技有限公司荣获</w:t>
      </w:r>
      <w:r>
        <w:rPr>
          <w:rFonts w:hint="eastAsia" w:eastAsia="仿宋_GB2312"/>
          <w:sz w:val="32"/>
          <w:szCs w:val="32"/>
        </w:rPr>
        <w:t>“</w:t>
      </w:r>
      <w:r>
        <w:rPr>
          <w:rFonts w:eastAsia="仿宋_GB2312"/>
          <w:sz w:val="32"/>
          <w:szCs w:val="32"/>
        </w:rPr>
        <w:t>制造类</w:t>
      </w:r>
      <w:r>
        <w:rPr>
          <w:rFonts w:hint="eastAsia" w:eastAsia="仿宋_GB2312"/>
          <w:sz w:val="32"/>
          <w:szCs w:val="32"/>
        </w:rPr>
        <w:t>”</w:t>
      </w:r>
      <w:r>
        <w:rPr>
          <w:rFonts w:eastAsia="仿宋_GB2312"/>
          <w:sz w:val="32"/>
          <w:szCs w:val="32"/>
        </w:rPr>
        <w:t>二等奖，娄底市工商联被评为最佳组织奖。指导各商协会顺利完</w:t>
      </w:r>
      <w:r>
        <w:rPr>
          <w:rFonts w:eastAsia="仿宋_GB2312"/>
          <w:kern w:val="0"/>
          <w:sz w:val="32"/>
          <w:szCs w:val="32"/>
        </w:rPr>
        <w:t>成2022年度直属商会年检工作。指导娄底市浙江商会成立，开展商会台账摸底，完善商会会员数量。指导娄底市汽车行业商会和娄底市汽车服务业商会圆满完成换届工作。今年推荐了4家全国</w:t>
      </w:r>
      <w:r>
        <w:rPr>
          <w:rFonts w:hint="eastAsia" w:eastAsia="仿宋_GB2312"/>
          <w:kern w:val="0"/>
          <w:sz w:val="32"/>
          <w:szCs w:val="32"/>
        </w:rPr>
        <w:t>“</w:t>
      </w:r>
      <w:r>
        <w:rPr>
          <w:rFonts w:eastAsia="仿宋_GB2312"/>
          <w:kern w:val="0"/>
          <w:sz w:val="32"/>
          <w:szCs w:val="32"/>
        </w:rPr>
        <w:t>四好</w:t>
      </w:r>
      <w:r>
        <w:rPr>
          <w:rFonts w:hint="eastAsia" w:eastAsia="仿宋_GB2312"/>
          <w:kern w:val="0"/>
          <w:sz w:val="32"/>
          <w:szCs w:val="32"/>
        </w:rPr>
        <w:t>”</w:t>
      </w:r>
      <w:r>
        <w:rPr>
          <w:rFonts w:eastAsia="仿宋_GB2312"/>
          <w:kern w:val="0"/>
          <w:sz w:val="32"/>
          <w:szCs w:val="32"/>
        </w:rPr>
        <w:t>商会，11家全</w:t>
      </w:r>
      <w:r>
        <w:rPr>
          <w:rFonts w:eastAsia="仿宋_GB2312"/>
          <w:sz w:val="32"/>
          <w:szCs w:val="32"/>
        </w:rPr>
        <w:t>省</w:t>
      </w:r>
      <w:r>
        <w:rPr>
          <w:rFonts w:hint="eastAsia" w:eastAsia="仿宋_GB2312"/>
          <w:sz w:val="32"/>
          <w:szCs w:val="32"/>
        </w:rPr>
        <w:t>“</w:t>
      </w:r>
      <w:r>
        <w:rPr>
          <w:rFonts w:eastAsia="仿宋_GB2312"/>
          <w:sz w:val="32"/>
          <w:szCs w:val="32"/>
        </w:rPr>
        <w:t>四好</w:t>
      </w:r>
      <w:r>
        <w:rPr>
          <w:rFonts w:hint="eastAsia" w:eastAsia="仿宋_GB2312"/>
          <w:sz w:val="32"/>
          <w:szCs w:val="32"/>
        </w:rPr>
        <w:t>”</w:t>
      </w:r>
      <w:r>
        <w:rPr>
          <w:rFonts w:eastAsia="仿宋_GB2312"/>
          <w:sz w:val="32"/>
          <w:szCs w:val="32"/>
        </w:rPr>
        <w:t>商会，有力推动了商协会健康有序发展。</w:t>
      </w:r>
      <w:r>
        <w:rPr>
          <w:rFonts w:eastAsia="仿宋_GB2312"/>
          <w:b/>
          <w:bCs/>
          <w:sz w:val="32"/>
          <w:szCs w:val="32"/>
        </w:rPr>
        <w:t>三是持续加强模范机关建设。</w:t>
      </w:r>
      <w:r>
        <w:rPr>
          <w:rFonts w:eastAsia="仿宋_GB2312"/>
          <w:sz w:val="32"/>
          <w:szCs w:val="32"/>
        </w:rPr>
        <w:t>坚定不移推进全面从严治党，落实党建主体责任，抓好支部</w:t>
      </w:r>
      <w:r>
        <w:rPr>
          <w:rFonts w:hint="eastAsia" w:eastAsia="仿宋_GB2312"/>
          <w:sz w:val="32"/>
          <w:szCs w:val="32"/>
        </w:rPr>
        <w:t>“</w:t>
      </w:r>
      <w:r>
        <w:rPr>
          <w:rFonts w:eastAsia="仿宋_GB2312"/>
          <w:sz w:val="32"/>
          <w:szCs w:val="32"/>
        </w:rPr>
        <w:t>五化</w:t>
      </w:r>
      <w:r>
        <w:rPr>
          <w:rFonts w:hint="eastAsia" w:eastAsia="仿宋_GB2312"/>
          <w:sz w:val="32"/>
          <w:szCs w:val="32"/>
        </w:rPr>
        <w:t>”</w:t>
      </w:r>
      <w:r>
        <w:rPr>
          <w:rFonts w:eastAsia="仿宋_GB2312"/>
          <w:sz w:val="32"/>
          <w:szCs w:val="32"/>
        </w:rPr>
        <w:t>建设提质工程，强化班子自身建设，推动清廉工商联事业发展。持续推动主题教育活动继续走深走实，大兴调查研究之风，深入开展</w:t>
      </w:r>
      <w:r>
        <w:rPr>
          <w:rFonts w:hint="eastAsia" w:eastAsia="仿宋_GB2312"/>
          <w:sz w:val="32"/>
          <w:szCs w:val="32"/>
        </w:rPr>
        <w:t>“</w:t>
      </w:r>
      <w:r>
        <w:rPr>
          <w:rFonts w:eastAsia="仿宋_GB2312"/>
          <w:sz w:val="32"/>
          <w:szCs w:val="32"/>
        </w:rPr>
        <w:t>走想找促</w:t>
      </w:r>
      <w:r>
        <w:rPr>
          <w:rFonts w:hint="eastAsia" w:eastAsia="仿宋_GB2312"/>
          <w:sz w:val="32"/>
          <w:szCs w:val="32"/>
        </w:rPr>
        <w:t>”</w:t>
      </w:r>
      <w:r>
        <w:rPr>
          <w:rFonts w:eastAsia="仿宋_GB2312"/>
          <w:sz w:val="32"/>
          <w:szCs w:val="32"/>
        </w:rPr>
        <w:t>调研活动，撰写了调研报告、社情民意12篇，为市委、政府科学决策提供参考。积极开展文明机关创建，推进平安建设、安全生产、节约型机关建设，推进清廉机关、清廉商会建设。深入开展</w:t>
      </w:r>
      <w:r>
        <w:rPr>
          <w:rFonts w:hint="eastAsia" w:eastAsia="仿宋_GB2312"/>
          <w:sz w:val="32"/>
          <w:szCs w:val="32"/>
        </w:rPr>
        <w:t>“</w:t>
      </w:r>
      <w:r>
        <w:rPr>
          <w:rFonts w:eastAsia="仿宋_GB2312"/>
          <w:sz w:val="32"/>
          <w:szCs w:val="32"/>
        </w:rPr>
        <w:t>五好</w:t>
      </w:r>
      <w:r>
        <w:rPr>
          <w:rFonts w:hint="eastAsia" w:eastAsia="仿宋_GB2312"/>
          <w:sz w:val="32"/>
          <w:szCs w:val="32"/>
        </w:rPr>
        <w:t>”</w:t>
      </w:r>
      <w:r>
        <w:rPr>
          <w:rFonts w:eastAsia="仿宋_GB2312"/>
          <w:sz w:val="32"/>
          <w:szCs w:val="32"/>
        </w:rPr>
        <w:t>县级工商联建设，推荐省级</w:t>
      </w:r>
      <w:r>
        <w:rPr>
          <w:rFonts w:hint="eastAsia" w:eastAsia="仿宋_GB2312"/>
          <w:sz w:val="32"/>
          <w:szCs w:val="32"/>
        </w:rPr>
        <w:t>“</w:t>
      </w:r>
      <w:r>
        <w:rPr>
          <w:rFonts w:eastAsia="仿宋_GB2312"/>
          <w:sz w:val="32"/>
          <w:szCs w:val="32"/>
        </w:rPr>
        <w:t>五好</w:t>
      </w:r>
      <w:r>
        <w:rPr>
          <w:rFonts w:hint="eastAsia" w:eastAsia="仿宋_GB2312"/>
          <w:sz w:val="32"/>
          <w:szCs w:val="32"/>
        </w:rPr>
        <w:t>”</w:t>
      </w:r>
      <w:r>
        <w:rPr>
          <w:rFonts w:eastAsia="仿宋_GB2312"/>
          <w:sz w:val="32"/>
          <w:szCs w:val="32"/>
        </w:rPr>
        <w:t>县级工商联4家，全面提升县级工商联工作能力水平。</w:t>
      </w:r>
      <w:r>
        <w:rPr>
          <w:rFonts w:eastAsia="仿宋_GB2312"/>
          <w:b/>
          <w:bCs/>
          <w:sz w:val="32"/>
          <w:szCs w:val="32"/>
        </w:rPr>
        <w:t>四是引导企业践行社会责任。</w:t>
      </w:r>
      <w:r>
        <w:rPr>
          <w:rFonts w:eastAsia="仿宋_GB2312"/>
          <w:sz w:val="32"/>
          <w:szCs w:val="32"/>
        </w:rPr>
        <w:t>深入推进</w:t>
      </w:r>
      <w:r>
        <w:rPr>
          <w:rFonts w:hint="eastAsia" w:eastAsia="仿宋_GB2312"/>
          <w:sz w:val="32"/>
          <w:szCs w:val="32"/>
        </w:rPr>
        <w:t>“</w:t>
      </w:r>
      <w:r>
        <w:rPr>
          <w:rFonts w:eastAsia="仿宋_GB2312"/>
          <w:sz w:val="32"/>
          <w:szCs w:val="32"/>
        </w:rPr>
        <w:t>万企兴万村</w:t>
      </w:r>
      <w:r>
        <w:rPr>
          <w:rFonts w:hint="eastAsia" w:eastAsia="仿宋_GB2312"/>
          <w:sz w:val="32"/>
          <w:szCs w:val="32"/>
        </w:rPr>
        <w:t>”</w:t>
      </w:r>
      <w:r>
        <w:rPr>
          <w:rFonts w:eastAsia="仿宋_GB2312"/>
          <w:sz w:val="32"/>
          <w:szCs w:val="32"/>
        </w:rPr>
        <w:t>活动，引导411家民营企业投资37.9亿元开展</w:t>
      </w:r>
      <w:r>
        <w:rPr>
          <w:rFonts w:hint="eastAsia" w:eastAsia="仿宋_GB2312"/>
          <w:sz w:val="32"/>
          <w:szCs w:val="32"/>
        </w:rPr>
        <w:t>“</w:t>
      </w:r>
      <w:r>
        <w:rPr>
          <w:rFonts w:eastAsia="仿宋_GB2312"/>
          <w:sz w:val="32"/>
          <w:szCs w:val="32"/>
        </w:rPr>
        <w:t>兴村</w:t>
      </w:r>
      <w:r>
        <w:rPr>
          <w:rFonts w:hint="eastAsia" w:eastAsia="仿宋_GB2312"/>
          <w:sz w:val="32"/>
          <w:szCs w:val="32"/>
        </w:rPr>
        <w:t>”</w:t>
      </w:r>
      <w:r>
        <w:rPr>
          <w:rFonts w:eastAsia="仿宋_GB2312"/>
          <w:sz w:val="32"/>
          <w:szCs w:val="32"/>
        </w:rPr>
        <w:t>项目457个，对口帮扶358个村；持续推进</w:t>
      </w:r>
      <w:r>
        <w:rPr>
          <w:rFonts w:hint="eastAsia" w:eastAsia="仿宋_GB2312"/>
          <w:sz w:val="32"/>
          <w:szCs w:val="32"/>
        </w:rPr>
        <w:t>“</w:t>
      </w:r>
      <w:r>
        <w:rPr>
          <w:rFonts w:eastAsia="仿宋_GB2312"/>
          <w:sz w:val="32"/>
          <w:szCs w:val="32"/>
        </w:rPr>
        <w:t>帮扶千村 破零倍增</w:t>
      </w:r>
      <w:r>
        <w:rPr>
          <w:rFonts w:hint="eastAsia" w:eastAsia="仿宋_GB2312"/>
          <w:sz w:val="32"/>
          <w:szCs w:val="32"/>
        </w:rPr>
        <w:t>”</w:t>
      </w:r>
      <w:r>
        <w:rPr>
          <w:rFonts w:eastAsia="仿宋_GB2312"/>
          <w:sz w:val="32"/>
          <w:szCs w:val="32"/>
        </w:rPr>
        <w:t>重点帮扶集体经济薄弱村专项行动，对口帮扶薄弱村近100个；组织开展</w:t>
      </w:r>
      <w:r>
        <w:rPr>
          <w:rFonts w:hint="eastAsia" w:eastAsia="仿宋_GB2312"/>
          <w:sz w:val="32"/>
          <w:szCs w:val="32"/>
        </w:rPr>
        <w:t>“</w:t>
      </w:r>
      <w:r>
        <w:rPr>
          <w:rFonts w:eastAsia="仿宋_GB2312"/>
          <w:sz w:val="32"/>
          <w:szCs w:val="32"/>
        </w:rPr>
        <w:t>助力乡村振兴·鲁商同心助学</w:t>
      </w:r>
      <w:r>
        <w:rPr>
          <w:rFonts w:hint="eastAsia" w:eastAsia="仿宋_GB2312"/>
          <w:sz w:val="32"/>
          <w:szCs w:val="32"/>
        </w:rPr>
        <w:t>”</w:t>
      </w:r>
      <w:r>
        <w:rPr>
          <w:rFonts w:eastAsia="仿宋_GB2312"/>
          <w:sz w:val="32"/>
          <w:szCs w:val="32"/>
        </w:rPr>
        <w:t>爱心公益捐赠活动，向全市义务教育阶段中小学校捐赠爱心物品及爱心款共计近300万元；在2023年度</w:t>
      </w:r>
      <w:r>
        <w:rPr>
          <w:rFonts w:hint="eastAsia" w:eastAsia="仿宋_GB2312"/>
          <w:sz w:val="32"/>
          <w:szCs w:val="32"/>
        </w:rPr>
        <w:t>“</w:t>
      </w:r>
      <w:r>
        <w:rPr>
          <w:rFonts w:eastAsia="仿宋_GB2312"/>
          <w:sz w:val="32"/>
          <w:szCs w:val="32"/>
        </w:rPr>
        <w:t>万企兴万村</w:t>
      </w:r>
      <w:r>
        <w:rPr>
          <w:rFonts w:hint="eastAsia" w:eastAsia="仿宋_GB2312"/>
          <w:sz w:val="32"/>
          <w:szCs w:val="32"/>
        </w:rPr>
        <w:t>”</w:t>
      </w:r>
      <w:r>
        <w:rPr>
          <w:rFonts w:eastAsia="仿宋_GB2312"/>
          <w:sz w:val="32"/>
          <w:szCs w:val="32"/>
        </w:rPr>
        <w:t>行动典型选树创建工作中，娄底市娄星区和娄底市女企业家联合会分别被评为全省</w:t>
      </w:r>
      <w:r>
        <w:rPr>
          <w:rFonts w:hint="eastAsia" w:eastAsia="仿宋_GB2312"/>
          <w:sz w:val="32"/>
          <w:szCs w:val="32"/>
        </w:rPr>
        <w:t>“</w:t>
      </w:r>
      <w:r>
        <w:rPr>
          <w:rFonts w:eastAsia="仿宋_GB2312"/>
          <w:sz w:val="32"/>
          <w:szCs w:val="32"/>
        </w:rPr>
        <w:t>万企兴万村</w:t>
      </w:r>
      <w:r>
        <w:rPr>
          <w:rFonts w:hint="eastAsia" w:eastAsia="仿宋_GB2312"/>
          <w:sz w:val="32"/>
          <w:szCs w:val="32"/>
        </w:rPr>
        <w:t>”</w:t>
      </w:r>
      <w:r>
        <w:rPr>
          <w:rFonts w:eastAsia="仿宋_GB2312"/>
          <w:sz w:val="32"/>
          <w:szCs w:val="32"/>
        </w:rPr>
        <w:t>行动典型县、典型商会。</w:t>
      </w:r>
    </w:p>
    <w:p w14:paraId="6B345CA6">
      <w:pPr>
        <w:shd w:val="clear" w:color="auto" w:fill="FFFFFF"/>
        <w:overflowPunct w:val="0"/>
        <w:spacing w:line="630" w:lineRule="exact"/>
        <w:ind w:firstLine="640" w:firstLineChars="200"/>
        <w:rPr>
          <w:rFonts w:eastAsia="仿宋_GB2312"/>
          <w:sz w:val="32"/>
          <w:szCs w:val="32"/>
        </w:rPr>
      </w:pPr>
      <w:r>
        <w:rPr>
          <w:rFonts w:eastAsia="仿宋_GB2312"/>
          <w:sz w:val="32"/>
          <w:szCs w:val="32"/>
        </w:rPr>
        <w:t>效果：组织影响力不断扩大，组织活力不断加强。</w:t>
      </w:r>
    </w:p>
    <w:p w14:paraId="325BF902">
      <w:pPr>
        <w:shd w:val="clear" w:color="auto" w:fill="FFFFFF"/>
        <w:overflowPunct w:val="0"/>
        <w:spacing w:line="630" w:lineRule="exact"/>
        <w:ind w:firstLine="640" w:firstLineChars="200"/>
        <w:rPr>
          <w:rFonts w:eastAsia="仿宋_GB2312"/>
          <w:sz w:val="32"/>
          <w:szCs w:val="32"/>
        </w:rPr>
      </w:pPr>
      <w:r>
        <w:rPr>
          <w:rFonts w:eastAsia="仿宋_GB2312"/>
          <w:sz w:val="32"/>
          <w:szCs w:val="32"/>
        </w:rPr>
        <w:t>目标4：做好建言资政工作。</w:t>
      </w:r>
    </w:p>
    <w:p w14:paraId="1E588EB2">
      <w:pPr>
        <w:shd w:val="clear" w:color="auto" w:fill="FFFFFF"/>
        <w:overflowPunct w:val="0"/>
        <w:spacing w:line="630" w:lineRule="exact"/>
        <w:ind w:firstLine="640" w:firstLineChars="200"/>
        <w:rPr>
          <w:rFonts w:eastAsia="仿宋"/>
          <w:color w:val="000000"/>
          <w:sz w:val="32"/>
          <w:szCs w:val="32"/>
          <w:shd w:val="clear" w:color="auto" w:fill="FFFFFF"/>
        </w:rPr>
      </w:pPr>
      <w:r>
        <w:rPr>
          <w:rFonts w:eastAsia="仿宋_GB2312"/>
          <w:sz w:val="32"/>
          <w:szCs w:val="32"/>
        </w:rPr>
        <w:t>完成情况：持续推动主题教育活动继续走深走实，大兴调查研究之风，深入开展</w:t>
      </w:r>
      <w:r>
        <w:rPr>
          <w:rFonts w:hint="eastAsia" w:eastAsia="仿宋_GB2312"/>
          <w:sz w:val="32"/>
          <w:szCs w:val="32"/>
        </w:rPr>
        <w:t>“</w:t>
      </w:r>
      <w:r>
        <w:rPr>
          <w:rFonts w:eastAsia="仿宋_GB2312"/>
          <w:sz w:val="32"/>
          <w:szCs w:val="32"/>
        </w:rPr>
        <w:t>走想找促</w:t>
      </w:r>
      <w:r>
        <w:rPr>
          <w:rFonts w:hint="eastAsia" w:eastAsia="仿宋_GB2312"/>
          <w:sz w:val="32"/>
          <w:szCs w:val="32"/>
        </w:rPr>
        <w:t>”</w:t>
      </w:r>
      <w:r>
        <w:rPr>
          <w:rFonts w:eastAsia="仿宋_GB2312"/>
          <w:sz w:val="32"/>
          <w:szCs w:val="32"/>
        </w:rPr>
        <w:t>调研活动，撰写了调研报告、社情民意12篇，为市委、政府科学决策提供参考。。</w:t>
      </w:r>
    </w:p>
    <w:p w14:paraId="05447EFE">
      <w:pPr>
        <w:shd w:val="clear" w:color="auto" w:fill="FFFFFF"/>
        <w:overflowPunct w:val="0"/>
        <w:spacing w:line="630" w:lineRule="exact"/>
        <w:ind w:firstLine="640" w:firstLineChars="200"/>
        <w:rPr>
          <w:rFonts w:eastAsia="仿宋_GB2312"/>
          <w:sz w:val="32"/>
          <w:szCs w:val="32"/>
        </w:rPr>
      </w:pPr>
      <w:r>
        <w:rPr>
          <w:rFonts w:eastAsia="仿宋_GB2312"/>
          <w:sz w:val="32"/>
          <w:szCs w:val="32"/>
        </w:rPr>
        <w:t>效果：充分发挥工商联的桥梁纽带和有力助手作用，找准工作定位，</w:t>
      </w:r>
      <w:r>
        <w:rPr>
          <w:rFonts w:eastAsia="仿宋"/>
          <w:color w:val="000000"/>
          <w:sz w:val="32"/>
          <w:szCs w:val="32"/>
          <w:shd w:val="clear" w:color="auto" w:fill="FFFFFF"/>
        </w:rPr>
        <w:t>助力</w:t>
      </w:r>
      <w:r>
        <w:rPr>
          <w:rFonts w:hint="eastAsia" w:eastAsia="仿宋"/>
          <w:color w:val="000000"/>
          <w:sz w:val="32"/>
          <w:szCs w:val="32"/>
          <w:shd w:val="clear" w:color="auto" w:fill="FFFFFF"/>
        </w:rPr>
        <w:t>“</w:t>
      </w:r>
      <w:r>
        <w:rPr>
          <w:rFonts w:eastAsia="仿宋"/>
          <w:color w:val="000000"/>
          <w:sz w:val="32"/>
          <w:szCs w:val="32"/>
          <w:shd w:val="clear" w:color="auto" w:fill="FFFFFF"/>
        </w:rPr>
        <w:t>三高四新</w:t>
      </w:r>
      <w:r>
        <w:rPr>
          <w:rFonts w:hint="eastAsia" w:eastAsia="仿宋"/>
          <w:color w:val="000000"/>
          <w:sz w:val="32"/>
          <w:szCs w:val="32"/>
          <w:shd w:val="clear" w:color="auto" w:fill="FFFFFF"/>
        </w:rPr>
        <w:t>”</w:t>
      </w:r>
      <w:r>
        <w:rPr>
          <w:rFonts w:eastAsia="仿宋"/>
          <w:color w:val="000000"/>
          <w:sz w:val="32"/>
          <w:szCs w:val="32"/>
          <w:shd w:val="clear" w:color="auto" w:fill="FFFFFF"/>
        </w:rPr>
        <w:t>战略实施。</w:t>
      </w:r>
    </w:p>
    <w:p w14:paraId="43D32BBE">
      <w:pPr>
        <w:shd w:val="clear" w:color="auto" w:fill="FFFFFF"/>
        <w:overflowPunct w:val="0"/>
        <w:spacing w:line="630" w:lineRule="exact"/>
        <w:ind w:firstLine="640" w:firstLineChars="200"/>
        <w:rPr>
          <w:rFonts w:eastAsia="仿宋_GB2312"/>
          <w:sz w:val="32"/>
          <w:szCs w:val="32"/>
        </w:rPr>
      </w:pPr>
      <w:r>
        <w:rPr>
          <w:rFonts w:eastAsia="仿宋_GB2312"/>
          <w:sz w:val="32"/>
          <w:szCs w:val="32"/>
        </w:rPr>
        <w:t>目标5：服务娄商发展。</w:t>
      </w:r>
    </w:p>
    <w:p w14:paraId="1AD60924">
      <w:pPr>
        <w:pStyle w:val="2"/>
        <w:overflowPunct w:val="0"/>
        <w:spacing w:line="630" w:lineRule="exact"/>
        <w:ind w:firstLine="640" w:firstLineChars="200"/>
      </w:pPr>
      <w:r>
        <w:rPr>
          <w:rFonts w:eastAsia="仿宋_GB2312"/>
          <w:sz w:val="32"/>
          <w:szCs w:val="32"/>
        </w:rPr>
        <w:t>完成情况：</w:t>
      </w:r>
      <w:r>
        <w:rPr>
          <w:rFonts w:ascii="Times New Roman" w:hAnsi="Times New Roman" w:eastAsia="仿宋_GB2312"/>
          <w:b/>
          <w:bCs/>
          <w:kern w:val="2"/>
          <w:sz w:val="32"/>
          <w:szCs w:val="32"/>
        </w:rPr>
        <w:t>一是成功举办第六届全球娄商大会和第三个娄商日活动。</w:t>
      </w:r>
      <w:r>
        <w:rPr>
          <w:rFonts w:ascii="Times New Roman" w:hAnsi="Times New Roman" w:eastAsia="仿宋_GB2312"/>
          <w:sz w:val="32"/>
          <w:szCs w:val="32"/>
          <w:shd w:val="clear" w:color="auto" w:fill="FFFFFF"/>
        </w:rPr>
        <w:t>积极响应湖南省委省政府</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迎老乡 回故乡 建家乡</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号召，大力</w:t>
      </w:r>
      <w:r>
        <w:rPr>
          <w:rFonts w:ascii="Times New Roman" w:hAnsi="Times New Roman" w:eastAsia="仿宋_GB2312"/>
          <w:sz w:val="32"/>
          <w:szCs w:val="32"/>
        </w:rPr>
        <w:t>推进</w:t>
      </w:r>
      <w:r>
        <w:rPr>
          <w:rFonts w:hint="eastAsia" w:ascii="Times New Roman" w:hAnsi="Times New Roman" w:eastAsia="仿宋_GB2312"/>
          <w:sz w:val="32"/>
          <w:szCs w:val="32"/>
        </w:rPr>
        <w:t>“</w:t>
      </w:r>
      <w:r>
        <w:rPr>
          <w:rFonts w:ascii="Times New Roman" w:hAnsi="Times New Roman" w:eastAsia="仿宋_GB2312"/>
          <w:sz w:val="32"/>
          <w:szCs w:val="32"/>
        </w:rPr>
        <w:t>湘商回归</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娄商返娄</w:t>
      </w:r>
      <w:r>
        <w:rPr>
          <w:rFonts w:hint="eastAsia" w:ascii="Times New Roman" w:hAnsi="Times New Roman" w:eastAsia="仿宋_GB2312"/>
          <w:sz w:val="32"/>
          <w:szCs w:val="32"/>
        </w:rPr>
        <w:t>”</w:t>
      </w:r>
      <w:r>
        <w:rPr>
          <w:rFonts w:ascii="Times New Roman" w:hAnsi="Times New Roman" w:eastAsia="仿宋_GB2312"/>
          <w:sz w:val="32"/>
          <w:szCs w:val="32"/>
        </w:rPr>
        <w:t>战略，诚邀共计550余名娄商回到家乡参加第六届全球娄商大会。升华了</w:t>
      </w:r>
      <w:r>
        <w:rPr>
          <w:rFonts w:hint="eastAsia" w:ascii="Times New Roman" w:hAnsi="Times New Roman" w:eastAsia="仿宋_GB2312"/>
          <w:sz w:val="32"/>
          <w:szCs w:val="32"/>
        </w:rPr>
        <w:t>“</w:t>
      </w:r>
      <w:r>
        <w:rPr>
          <w:rFonts w:ascii="Times New Roman" w:hAnsi="Times New Roman" w:eastAsia="仿宋_GB2312"/>
          <w:sz w:val="32"/>
          <w:szCs w:val="32"/>
        </w:rPr>
        <w:t>经世致用、崇德尚义、敢为人先、善作善成</w:t>
      </w:r>
      <w:r>
        <w:rPr>
          <w:rFonts w:hint="eastAsia" w:ascii="Times New Roman" w:hAnsi="Times New Roman" w:eastAsia="仿宋_GB2312"/>
          <w:sz w:val="32"/>
          <w:szCs w:val="32"/>
        </w:rPr>
        <w:t>”</w:t>
      </w:r>
      <w:r>
        <w:rPr>
          <w:rFonts w:ascii="Times New Roman" w:hAnsi="Times New Roman" w:eastAsia="仿宋_GB2312"/>
          <w:sz w:val="32"/>
          <w:szCs w:val="32"/>
        </w:rPr>
        <w:t>的新时代娄商精神。举行了娄商之歌《天地这方》首发式和《传奇娄商》报告文学集新书发布式，邀请中央电视台原著名主持人王志、中国民营经济研究专家管清友、三一集团总裁唐修国等和市委副书记、市长曾超群开展新娄商论道，畅谈对民营经济高质量发展的所思、所想、所愿。现场签约32个重点招商引资项目，投资总额545.5亿元。以</w:t>
      </w:r>
      <w:r>
        <w:rPr>
          <w:rFonts w:hint="eastAsia" w:ascii="Times New Roman" w:hAnsi="Times New Roman" w:eastAsia="仿宋_GB2312"/>
          <w:sz w:val="32"/>
          <w:szCs w:val="32"/>
        </w:rPr>
        <w:t>“</w:t>
      </w:r>
      <w:r>
        <w:rPr>
          <w:rFonts w:ascii="Times New Roman" w:hAnsi="Times New Roman" w:eastAsia="仿宋_GB2312"/>
          <w:sz w:val="32"/>
          <w:szCs w:val="32"/>
        </w:rPr>
        <w:t>弘扬娄商精神 推动娄底发展</w:t>
      </w:r>
      <w:r>
        <w:rPr>
          <w:rFonts w:hint="eastAsia" w:ascii="Times New Roman" w:hAnsi="Times New Roman" w:eastAsia="仿宋_GB2312"/>
          <w:sz w:val="32"/>
          <w:szCs w:val="32"/>
        </w:rPr>
        <w:t>”</w:t>
      </w:r>
      <w:r>
        <w:rPr>
          <w:rFonts w:ascii="Times New Roman" w:hAnsi="Times New Roman" w:eastAsia="仿宋_GB2312"/>
          <w:sz w:val="32"/>
          <w:szCs w:val="32"/>
        </w:rPr>
        <w:t>为主题举办第三个娄商日活动暨《传奇娄商》赏读会，解读娄商精神，涵养娄商文化，擦亮娄商品牌，颁布了</w:t>
      </w:r>
      <w:r>
        <w:rPr>
          <w:rFonts w:hint="eastAsia" w:ascii="Times New Roman" w:hAnsi="Times New Roman" w:eastAsia="仿宋_GB2312"/>
          <w:sz w:val="32"/>
          <w:szCs w:val="32"/>
        </w:rPr>
        <w:t>“</w:t>
      </w:r>
      <w:r>
        <w:rPr>
          <w:rFonts w:ascii="Times New Roman" w:hAnsi="Times New Roman" w:eastAsia="仿宋_GB2312"/>
          <w:sz w:val="32"/>
          <w:szCs w:val="32"/>
        </w:rPr>
        <w:t>2023娄底民营企业20强榜</w:t>
      </w:r>
      <w:r>
        <w:rPr>
          <w:rFonts w:hint="eastAsia" w:ascii="Times New Roman" w:hAnsi="Times New Roman" w:eastAsia="仿宋_GB2312"/>
          <w:sz w:val="32"/>
          <w:szCs w:val="32"/>
        </w:rPr>
        <w:t>”</w:t>
      </w:r>
      <w:r>
        <w:rPr>
          <w:rFonts w:ascii="Times New Roman" w:hAnsi="Times New Roman" w:eastAsia="仿宋_GB2312"/>
          <w:sz w:val="32"/>
          <w:szCs w:val="32"/>
        </w:rPr>
        <w:t>与</w:t>
      </w:r>
      <w:r>
        <w:rPr>
          <w:rFonts w:hint="eastAsia" w:ascii="Times New Roman" w:hAnsi="Times New Roman" w:eastAsia="仿宋_GB2312"/>
          <w:sz w:val="32"/>
          <w:szCs w:val="32"/>
        </w:rPr>
        <w:t>“</w:t>
      </w:r>
      <w:r>
        <w:rPr>
          <w:rFonts w:ascii="Times New Roman" w:hAnsi="Times New Roman" w:eastAsia="仿宋_GB2312"/>
          <w:sz w:val="32"/>
          <w:szCs w:val="32"/>
        </w:rPr>
        <w:t>2023娄底民营企业新星榜</w:t>
      </w:r>
      <w:r>
        <w:rPr>
          <w:rFonts w:hint="eastAsia" w:ascii="Times New Roman" w:hAnsi="Times New Roman" w:eastAsia="仿宋_GB2312"/>
          <w:sz w:val="32"/>
          <w:szCs w:val="32"/>
        </w:rPr>
        <w:t>”</w:t>
      </w:r>
      <w:r>
        <w:rPr>
          <w:rFonts w:ascii="Times New Roman" w:hAnsi="Times New Roman" w:eastAsia="仿宋_GB2312"/>
          <w:sz w:val="32"/>
          <w:szCs w:val="32"/>
        </w:rPr>
        <w:t>，为海内外娄商文化赋能。</w:t>
      </w:r>
      <w:r>
        <w:rPr>
          <w:rFonts w:ascii="Times New Roman" w:hAnsi="Times New Roman" w:eastAsia="仿宋_GB2312"/>
          <w:b/>
          <w:bCs/>
          <w:kern w:val="2"/>
          <w:sz w:val="32"/>
          <w:szCs w:val="32"/>
        </w:rPr>
        <w:t>二是深化联谊走访交流，促进经贸投资。</w:t>
      </w:r>
      <w:r>
        <w:rPr>
          <w:rFonts w:ascii="Times New Roman" w:hAnsi="Times New Roman" w:eastAsia="仿宋_GB2312"/>
          <w:sz w:val="32"/>
          <w:szCs w:val="32"/>
        </w:rPr>
        <w:t>开展了新春</w:t>
      </w:r>
      <w:r>
        <w:rPr>
          <w:rFonts w:hint="eastAsia" w:ascii="Times New Roman" w:hAnsi="Times New Roman" w:eastAsia="仿宋_GB2312"/>
          <w:sz w:val="32"/>
          <w:szCs w:val="32"/>
        </w:rPr>
        <w:t>“</w:t>
      </w:r>
      <w:r>
        <w:rPr>
          <w:rFonts w:ascii="Times New Roman" w:hAnsi="Times New Roman" w:eastAsia="仿宋_GB2312"/>
          <w:sz w:val="32"/>
          <w:szCs w:val="32"/>
        </w:rPr>
        <w:t>云拜年</w:t>
      </w:r>
      <w:r>
        <w:rPr>
          <w:rFonts w:hint="eastAsia" w:ascii="Times New Roman" w:hAnsi="Times New Roman" w:eastAsia="仿宋_GB2312"/>
          <w:sz w:val="32"/>
          <w:szCs w:val="32"/>
        </w:rPr>
        <w:t>”</w:t>
      </w:r>
      <w:r>
        <w:rPr>
          <w:rFonts w:ascii="Times New Roman" w:hAnsi="Times New Roman" w:eastAsia="仿宋_GB2312"/>
          <w:sz w:val="32"/>
          <w:szCs w:val="32"/>
        </w:rPr>
        <w:t>活动，近10个异地娄底商会精心制作了拜年短视频，在新娄底APP上刊播。开展</w:t>
      </w:r>
      <w:r>
        <w:rPr>
          <w:rFonts w:hint="eastAsia" w:ascii="Times New Roman" w:hAnsi="Times New Roman" w:eastAsia="仿宋_GB2312"/>
          <w:sz w:val="32"/>
          <w:szCs w:val="32"/>
        </w:rPr>
        <w:t>“</w:t>
      </w:r>
      <w:r>
        <w:rPr>
          <w:rFonts w:ascii="Times New Roman" w:hAnsi="Times New Roman" w:eastAsia="仿宋_GB2312"/>
          <w:sz w:val="32"/>
          <w:szCs w:val="32"/>
        </w:rPr>
        <w:t>春暖湘商</w:t>
      </w:r>
      <w:r>
        <w:rPr>
          <w:rFonts w:hint="eastAsia" w:ascii="Times New Roman" w:hAnsi="Times New Roman" w:eastAsia="仿宋_GB2312"/>
          <w:sz w:val="32"/>
          <w:szCs w:val="32"/>
        </w:rPr>
        <w:t>”</w:t>
      </w:r>
      <w:r>
        <w:rPr>
          <w:rFonts w:ascii="Times New Roman" w:hAnsi="Times New Roman" w:eastAsia="仿宋_GB2312"/>
          <w:sz w:val="32"/>
          <w:szCs w:val="32"/>
        </w:rPr>
        <w:t>新春慰问活动，主要领导带队，所有市、区级领导走访慰问联系专家，上门走访民营经济界的人才专家和娄商代表人士、娄商亲属共计226人次，共送去春节慰问金20万余元。举行2023年</w:t>
      </w:r>
      <w:r>
        <w:rPr>
          <w:rFonts w:hint="eastAsia" w:ascii="Times New Roman" w:hAnsi="Times New Roman" w:eastAsia="仿宋_GB2312"/>
          <w:sz w:val="32"/>
          <w:szCs w:val="32"/>
        </w:rPr>
        <w:t>“</w:t>
      </w:r>
      <w:r>
        <w:rPr>
          <w:rFonts w:ascii="Times New Roman" w:hAnsi="Times New Roman" w:eastAsia="仿宋_GB2312"/>
          <w:sz w:val="32"/>
          <w:szCs w:val="32"/>
        </w:rPr>
        <w:t>娄</w:t>
      </w:r>
      <w:r>
        <w:rPr>
          <w:rFonts w:hint="eastAsia" w:ascii="Times New Roman" w:hAnsi="Times New Roman" w:eastAsia="仿宋_GB2312"/>
          <w:sz w:val="32"/>
          <w:szCs w:val="32"/>
        </w:rPr>
        <w:t>”</w:t>
      </w:r>
      <w:r>
        <w:rPr>
          <w:rFonts w:ascii="Times New Roman" w:hAnsi="Times New Roman" w:eastAsia="仿宋_GB2312"/>
          <w:sz w:val="32"/>
          <w:szCs w:val="32"/>
        </w:rPr>
        <w:t xml:space="preserve">商绘精彩 </w:t>
      </w:r>
      <w:r>
        <w:rPr>
          <w:rFonts w:hint="eastAsia" w:ascii="Times New Roman" w:hAnsi="Times New Roman" w:eastAsia="仿宋_GB2312"/>
          <w:sz w:val="32"/>
          <w:szCs w:val="32"/>
        </w:rPr>
        <w:t>“</w:t>
      </w:r>
      <w:r>
        <w:rPr>
          <w:rFonts w:ascii="Times New Roman" w:hAnsi="Times New Roman" w:eastAsia="仿宋_GB2312"/>
          <w:sz w:val="32"/>
          <w:szCs w:val="32"/>
        </w:rPr>
        <w:t>底</w:t>
      </w:r>
      <w:r>
        <w:rPr>
          <w:rFonts w:hint="eastAsia" w:ascii="Times New Roman" w:hAnsi="Times New Roman" w:eastAsia="仿宋_GB2312"/>
          <w:sz w:val="32"/>
          <w:szCs w:val="32"/>
        </w:rPr>
        <w:t>”</w:t>
      </w:r>
      <w:r>
        <w:rPr>
          <w:rFonts w:ascii="Times New Roman" w:hAnsi="Times New Roman" w:eastAsia="仿宋_GB2312"/>
          <w:sz w:val="32"/>
          <w:szCs w:val="32"/>
        </w:rPr>
        <w:t>砺创未来——</w:t>
      </w:r>
      <w:r>
        <w:rPr>
          <w:rFonts w:hint="eastAsia" w:ascii="Times New Roman" w:hAnsi="Times New Roman" w:eastAsia="仿宋_GB2312"/>
          <w:sz w:val="32"/>
          <w:szCs w:val="32"/>
        </w:rPr>
        <w:t>“</w:t>
      </w:r>
      <w:r>
        <w:rPr>
          <w:rFonts w:ascii="Times New Roman" w:hAnsi="Times New Roman" w:eastAsia="仿宋_GB2312"/>
          <w:sz w:val="32"/>
          <w:szCs w:val="32"/>
        </w:rPr>
        <w:t>迎老乡 回故乡 建家乡</w:t>
      </w:r>
      <w:r>
        <w:rPr>
          <w:rFonts w:hint="eastAsia" w:ascii="Times New Roman" w:hAnsi="Times New Roman" w:eastAsia="仿宋_GB2312"/>
          <w:sz w:val="32"/>
          <w:szCs w:val="32"/>
        </w:rPr>
        <w:t>”</w:t>
      </w:r>
      <w:r>
        <w:rPr>
          <w:rFonts w:ascii="Times New Roman" w:hAnsi="Times New Roman" w:eastAsia="仿宋_GB2312"/>
          <w:sz w:val="32"/>
          <w:szCs w:val="32"/>
        </w:rPr>
        <w:t>异地娄底商会新春座谈会，并对</w:t>
      </w:r>
      <w:r>
        <w:rPr>
          <w:rFonts w:hint="eastAsia" w:ascii="Times New Roman" w:hAnsi="Times New Roman" w:eastAsia="仿宋_GB2312"/>
          <w:sz w:val="32"/>
          <w:szCs w:val="32"/>
        </w:rPr>
        <w:t>“</w:t>
      </w:r>
      <w:r>
        <w:rPr>
          <w:rFonts w:ascii="Times New Roman" w:hAnsi="Times New Roman" w:eastAsia="仿宋_GB2312"/>
          <w:sz w:val="32"/>
          <w:szCs w:val="32"/>
        </w:rPr>
        <w:t>娄底市乡情联络站</w:t>
      </w:r>
      <w:r>
        <w:rPr>
          <w:rFonts w:hint="eastAsia" w:ascii="Times New Roman" w:hAnsi="Times New Roman" w:eastAsia="仿宋_GB2312"/>
          <w:sz w:val="32"/>
          <w:szCs w:val="32"/>
        </w:rPr>
        <w:t>”</w:t>
      </w:r>
      <w:r>
        <w:rPr>
          <w:rFonts w:ascii="Times New Roman" w:hAnsi="Times New Roman" w:eastAsia="仿宋_GB2312"/>
          <w:sz w:val="32"/>
          <w:szCs w:val="32"/>
        </w:rPr>
        <w:t>进行授牌。协助相关部门，在深圳、长沙等地，举办娄商座谈会，邀请市委、政府主要领导与娄商座谈交流，宣传推介娄底市中部地区</w:t>
      </w:r>
      <w:r>
        <w:rPr>
          <w:rFonts w:hint="eastAsia" w:ascii="Times New Roman" w:hAnsi="Times New Roman" w:eastAsia="仿宋_GB2312"/>
          <w:sz w:val="32"/>
          <w:szCs w:val="32"/>
        </w:rPr>
        <w:t>“</w:t>
      </w:r>
      <w:r>
        <w:rPr>
          <w:rFonts w:ascii="Times New Roman" w:hAnsi="Times New Roman" w:eastAsia="仿宋_GB2312"/>
          <w:sz w:val="32"/>
          <w:szCs w:val="32"/>
        </w:rPr>
        <w:t>材料谷</w:t>
      </w:r>
      <w:r>
        <w:rPr>
          <w:rFonts w:hint="eastAsia" w:ascii="Times New Roman" w:hAnsi="Times New Roman" w:eastAsia="仿宋_GB2312"/>
          <w:sz w:val="32"/>
          <w:szCs w:val="32"/>
        </w:rPr>
        <w:t>”</w:t>
      </w:r>
      <w:r>
        <w:rPr>
          <w:rFonts w:ascii="Times New Roman" w:hAnsi="Times New Roman" w:eastAsia="仿宋_GB2312"/>
          <w:sz w:val="32"/>
          <w:szCs w:val="32"/>
        </w:rPr>
        <w:t>建设，吸引粤港澳大湾区广大客商来娄投资兴业，举办了</w:t>
      </w:r>
      <w:r>
        <w:rPr>
          <w:rFonts w:hint="eastAsia" w:ascii="Times New Roman" w:hAnsi="Times New Roman" w:eastAsia="仿宋_GB2312"/>
          <w:sz w:val="32"/>
          <w:szCs w:val="32"/>
        </w:rPr>
        <w:t>“</w:t>
      </w:r>
      <w:r>
        <w:rPr>
          <w:rFonts w:ascii="Times New Roman" w:hAnsi="Times New Roman" w:eastAsia="仿宋_GB2312"/>
          <w:sz w:val="32"/>
          <w:szCs w:val="32"/>
        </w:rPr>
        <w:t>深圳湘商看娄底</w:t>
      </w:r>
      <w:r>
        <w:rPr>
          <w:rFonts w:hint="eastAsia" w:ascii="Times New Roman" w:hAnsi="Times New Roman" w:eastAsia="仿宋_GB2312"/>
          <w:sz w:val="32"/>
          <w:szCs w:val="32"/>
        </w:rPr>
        <w:t>”</w:t>
      </w:r>
      <w:r>
        <w:rPr>
          <w:rFonts w:ascii="Times New Roman" w:hAnsi="Times New Roman" w:eastAsia="仿宋_GB2312"/>
          <w:sz w:val="32"/>
          <w:szCs w:val="32"/>
        </w:rPr>
        <w:t>考察活动。今年新增注册</w:t>
      </w:r>
      <w:r>
        <w:rPr>
          <w:rFonts w:hint="eastAsia" w:ascii="Times New Roman" w:hAnsi="Times New Roman" w:eastAsia="仿宋_GB2312"/>
          <w:sz w:val="32"/>
          <w:szCs w:val="32"/>
        </w:rPr>
        <w:t>“</w:t>
      </w:r>
      <w:r>
        <w:rPr>
          <w:rFonts w:ascii="Times New Roman" w:hAnsi="Times New Roman" w:eastAsia="仿宋_GB2312"/>
          <w:sz w:val="32"/>
          <w:szCs w:val="32"/>
        </w:rPr>
        <w:t>娄商返娄</w:t>
      </w:r>
      <w:r>
        <w:rPr>
          <w:rFonts w:hint="eastAsia" w:ascii="Times New Roman" w:hAnsi="Times New Roman" w:eastAsia="仿宋_GB2312"/>
          <w:sz w:val="32"/>
          <w:szCs w:val="32"/>
        </w:rPr>
        <w:t>”</w:t>
      </w:r>
      <w:r>
        <w:rPr>
          <w:rFonts w:ascii="Times New Roman" w:hAnsi="Times New Roman" w:eastAsia="仿宋_GB2312"/>
          <w:sz w:val="32"/>
          <w:szCs w:val="32"/>
        </w:rPr>
        <w:t>企业71家，到位资金436.78亿元。</w:t>
      </w:r>
      <w:r>
        <w:rPr>
          <w:rFonts w:ascii="Times New Roman" w:hAnsi="Times New Roman" w:eastAsia="仿宋_GB2312"/>
          <w:b/>
          <w:bCs/>
          <w:kern w:val="2"/>
          <w:sz w:val="32"/>
          <w:szCs w:val="32"/>
        </w:rPr>
        <w:t>三是建立健全联络机制和完善娄商信息数据库。</w:t>
      </w:r>
      <w:r>
        <w:rPr>
          <w:rFonts w:ascii="Times New Roman" w:hAnsi="Times New Roman" w:eastAsia="仿宋_GB2312"/>
          <w:sz w:val="32"/>
          <w:szCs w:val="32"/>
        </w:rPr>
        <w:t>全力推动市级领导挂点联系重点娄商工作贯彻落实，根据市级领导分工安排和最新完善的娄商数据库，明确33名市级领导挂点联系174名重点娄商（含本地），联系重点娄商范围主要有中国民企500强、世界500强高管、上市公司、返娄投资项目企业、21家异地娄底商会、13家由娄商担任会长的异地湖南商会等。加大异地娄底商会组建力度，指导广州、杭州、昆明、苏州等娄商密集城市推动成立娄底商会，指导郴州娄底商会成立，指导深圳娄底商会、香港娄底联谊会、长沙娄底商会等换届。向各县市区工商联、异地娄底（湖南）商会共采集700条娄商数据。邀请省内知名书法家题写赠书词，向异地娄底（湖南）商会中担任副会长以上职务的海内外娄商寄出1100余本《传奇娄商》，广泛传播宣传娄商文化，密切异地娄底商会与家乡的联系，增进娄商对家乡的情感。</w:t>
      </w:r>
    </w:p>
    <w:p w14:paraId="73A165D8">
      <w:pPr>
        <w:overflowPunct w:val="0"/>
        <w:spacing w:line="630" w:lineRule="exact"/>
        <w:ind w:firstLine="640" w:firstLineChars="200"/>
        <w:rPr>
          <w:rFonts w:eastAsia="仿宋_GB2312"/>
          <w:sz w:val="32"/>
          <w:szCs w:val="32"/>
        </w:rPr>
      </w:pPr>
      <w:r>
        <w:rPr>
          <w:rFonts w:eastAsia="仿宋_GB2312"/>
          <w:sz w:val="32"/>
          <w:szCs w:val="32"/>
        </w:rPr>
        <w:t>效果：极大地增强了娄商回到家乡投资兴业的决心和信心。</w:t>
      </w:r>
    </w:p>
    <w:p w14:paraId="0CDA9706">
      <w:pPr>
        <w:shd w:val="clear" w:color="auto" w:fill="FFFFFF"/>
        <w:overflowPunct w:val="0"/>
        <w:spacing w:line="630" w:lineRule="exact"/>
        <w:ind w:firstLine="640" w:firstLineChars="200"/>
        <w:rPr>
          <w:rFonts w:eastAsia="仿宋_GB2312"/>
          <w:sz w:val="32"/>
          <w:szCs w:val="32"/>
        </w:rPr>
      </w:pPr>
      <w:r>
        <w:rPr>
          <w:rFonts w:eastAsia="仿宋_GB2312"/>
          <w:sz w:val="32"/>
          <w:szCs w:val="32"/>
        </w:rPr>
        <w:t xml:space="preserve">（二）未实现既定绩效目标或未完成指标任务的分析说明。 </w:t>
      </w:r>
    </w:p>
    <w:p w14:paraId="08BA9144">
      <w:pPr>
        <w:shd w:val="clear" w:color="auto" w:fill="FFFFFF"/>
        <w:overflowPunct w:val="0"/>
        <w:spacing w:line="630" w:lineRule="exact"/>
        <w:ind w:firstLine="640" w:firstLineChars="200"/>
        <w:rPr>
          <w:rFonts w:eastAsia="仿宋_GB2312"/>
          <w:sz w:val="32"/>
          <w:szCs w:val="32"/>
        </w:rPr>
      </w:pPr>
      <w:r>
        <w:rPr>
          <w:rFonts w:eastAsia="仿宋_GB2312"/>
          <w:sz w:val="32"/>
          <w:szCs w:val="32"/>
        </w:rPr>
        <w:t xml:space="preserve"> 市工商联既定绩效目标和指标任务均已完成。</w:t>
      </w:r>
    </w:p>
    <w:p w14:paraId="3225C213">
      <w:pPr>
        <w:shd w:val="clear" w:color="auto" w:fill="FFFFFF"/>
        <w:overflowPunct w:val="0"/>
        <w:spacing w:line="630" w:lineRule="exact"/>
        <w:ind w:firstLine="640" w:firstLineChars="200"/>
        <w:rPr>
          <w:rFonts w:eastAsia="仿宋_GB2312"/>
          <w:sz w:val="32"/>
          <w:szCs w:val="32"/>
        </w:rPr>
      </w:pPr>
      <w:r>
        <w:rPr>
          <w:rFonts w:eastAsia="仿宋_GB2312"/>
          <w:sz w:val="32"/>
          <w:szCs w:val="32"/>
        </w:rPr>
        <w:t>（三）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5F255896">
      <w:pPr>
        <w:shd w:val="clear" w:color="auto" w:fill="FFFFFF"/>
        <w:overflowPunct w:val="0"/>
        <w:spacing w:line="630" w:lineRule="exact"/>
        <w:ind w:firstLine="640" w:firstLineChars="200"/>
        <w:rPr>
          <w:rFonts w:eastAsia="仿宋_GB2312"/>
          <w:sz w:val="32"/>
          <w:szCs w:val="32"/>
        </w:rPr>
      </w:pPr>
      <w:r>
        <w:rPr>
          <w:rFonts w:eastAsia="仿宋_GB2312"/>
          <w:sz w:val="32"/>
          <w:szCs w:val="32"/>
        </w:rPr>
        <w:t>运行成本方面：我会严格落实《娄底市工商联机关财务管理办法》等有关管理制度，规范财务审批程序，推行公务卡结算，严格差旅费和接待费支出标准、范围和程序的审核，严格落实中央八项规定和有关公务支出标准。加强经费合法合规性审核和预算控制，严格按制度政策办事，资金使用合法合规，支出手续齐全，程序到位。 </w:t>
      </w:r>
    </w:p>
    <w:p w14:paraId="54A3E18D">
      <w:pPr>
        <w:shd w:val="clear" w:color="auto" w:fill="FFFFFF"/>
        <w:overflowPunct w:val="0"/>
        <w:spacing w:line="630" w:lineRule="exact"/>
        <w:ind w:firstLine="640" w:firstLineChars="200"/>
        <w:rPr>
          <w:rStyle w:val="30"/>
          <w:rFonts w:hint="default" w:ascii="Times New Roman" w:hAnsi="Times New Roman" w:eastAsia="仿宋_GB2312"/>
          <w:bCs/>
        </w:rPr>
      </w:pPr>
      <w:r>
        <w:rPr>
          <w:rFonts w:eastAsia="仿宋_GB2312"/>
          <w:sz w:val="32"/>
          <w:szCs w:val="32"/>
        </w:rPr>
        <w:t>履职效能方面：由市工商联牵头组织参与，由市委书记或市长主持，每季度召开1次民营企业家座谈会，每月召开一次高质量发展指挥部会议专题调度营商环境工作，面对面督促解决问题。截止至今，娄底营商码交办诉求342件，已办结330件，办结回访满意率94.2%。组织召开</w:t>
      </w:r>
      <w:r>
        <w:rPr>
          <w:rFonts w:hint="eastAsia" w:eastAsia="仿宋_GB2312"/>
          <w:sz w:val="32"/>
          <w:szCs w:val="32"/>
        </w:rPr>
        <w:t>“</w:t>
      </w:r>
      <w:r>
        <w:rPr>
          <w:rFonts w:eastAsia="仿宋_GB2312"/>
          <w:sz w:val="32"/>
          <w:szCs w:val="32"/>
        </w:rPr>
        <w:t>营商环境直通车</w:t>
      </w:r>
      <w:r>
        <w:rPr>
          <w:rFonts w:hint="eastAsia" w:eastAsia="仿宋_GB2312"/>
          <w:sz w:val="32"/>
          <w:szCs w:val="32"/>
        </w:rPr>
        <w:t>”</w:t>
      </w:r>
      <w:r>
        <w:rPr>
          <w:rFonts w:eastAsia="仿宋_GB2312"/>
          <w:sz w:val="32"/>
          <w:szCs w:val="32"/>
        </w:rPr>
        <w:t>进商会暨娄底市女企业家联合会</w:t>
      </w:r>
      <w:r>
        <w:rPr>
          <w:rFonts w:hint="eastAsia" w:eastAsia="仿宋_GB2312"/>
          <w:sz w:val="32"/>
          <w:szCs w:val="32"/>
        </w:rPr>
        <w:t>“</w:t>
      </w:r>
      <w:r>
        <w:rPr>
          <w:rFonts w:eastAsia="仿宋_GB2312"/>
          <w:sz w:val="32"/>
          <w:szCs w:val="32"/>
        </w:rPr>
        <w:t>会员来敲门</w:t>
      </w:r>
      <w:r>
        <w:rPr>
          <w:rFonts w:hint="eastAsia" w:eastAsia="仿宋_GB2312"/>
          <w:sz w:val="32"/>
          <w:szCs w:val="32"/>
        </w:rPr>
        <w:t>”</w:t>
      </w:r>
      <w:r>
        <w:rPr>
          <w:rFonts w:eastAsia="仿宋_GB2312"/>
          <w:sz w:val="32"/>
          <w:szCs w:val="32"/>
        </w:rPr>
        <w:t>活动，了解企业诉求，加强沟通交流。高效运行民营企业服务热线，编辑企业诉求专报，并及时进行诉求跟踪回访评价。宣传发动湖南省2023年营商环境主观评价（含园区）工作，鼓励市场主体积极填报调查问卷，着力构建全面真实反映市场主体感受的营商环境主观评价体系。</w:t>
      </w:r>
    </w:p>
    <w:p w14:paraId="7861A170">
      <w:pPr>
        <w:shd w:val="clear" w:color="auto" w:fill="FFFFFF"/>
        <w:overflowPunct w:val="0"/>
        <w:spacing w:line="630" w:lineRule="exact"/>
        <w:ind w:firstLine="640" w:firstLineChars="200"/>
        <w:rPr>
          <w:rFonts w:eastAsia="仿宋_GB2312"/>
          <w:sz w:val="32"/>
          <w:szCs w:val="32"/>
        </w:rPr>
      </w:pPr>
      <w:r>
        <w:rPr>
          <w:rFonts w:eastAsia="仿宋_GB2312"/>
          <w:sz w:val="32"/>
          <w:szCs w:val="32"/>
        </w:rPr>
        <w:t>社会效益方面：</w:t>
      </w:r>
      <w:r>
        <w:rPr>
          <w:rFonts w:eastAsia="仿宋_GB2312"/>
          <w:sz w:val="32"/>
          <w:szCs w:val="32"/>
          <w:shd w:val="clear" w:color="auto" w:fill="FFFFFF"/>
        </w:rPr>
        <w:t>积极响应湖南省委省政府</w:t>
      </w:r>
      <w:r>
        <w:rPr>
          <w:rFonts w:hint="eastAsia" w:eastAsia="仿宋_GB2312"/>
          <w:sz w:val="32"/>
          <w:szCs w:val="32"/>
          <w:shd w:val="clear" w:color="auto" w:fill="FFFFFF"/>
        </w:rPr>
        <w:t>“</w:t>
      </w:r>
      <w:r>
        <w:rPr>
          <w:rFonts w:eastAsia="仿宋_GB2312"/>
          <w:sz w:val="32"/>
          <w:szCs w:val="32"/>
          <w:shd w:val="clear" w:color="auto" w:fill="FFFFFF"/>
        </w:rPr>
        <w:t>迎老乡 回故乡 建家乡</w:t>
      </w:r>
      <w:r>
        <w:rPr>
          <w:rFonts w:hint="eastAsia" w:eastAsia="仿宋_GB2312"/>
          <w:sz w:val="32"/>
          <w:szCs w:val="32"/>
          <w:shd w:val="clear" w:color="auto" w:fill="FFFFFF"/>
        </w:rPr>
        <w:t>”</w:t>
      </w:r>
      <w:r>
        <w:rPr>
          <w:rFonts w:eastAsia="仿宋_GB2312"/>
          <w:sz w:val="32"/>
          <w:szCs w:val="32"/>
          <w:shd w:val="clear" w:color="auto" w:fill="FFFFFF"/>
        </w:rPr>
        <w:t>号召，大力</w:t>
      </w:r>
      <w:r>
        <w:rPr>
          <w:rFonts w:eastAsia="仿宋_GB2312"/>
          <w:sz w:val="32"/>
          <w:szCs w:val="32"/>
        </w:rPr>
        <w:t>推进</w:t>
      </w:r>
      <w:r>
        <w:rPr>
          <w:rFonts w:hint="eastAsia" w:eastAsia="仿宋_GB2312"/>
          <w:sz w:val="32"/>
          <w:szCs w:val="32"/>
        </w:rPr>
        <w:t>“</w:t>
      </w:r>
      <w:r>
        <w:rPr>
          <w:rFonts w:eastAsia="仿宋_GB2312"/>
          <w:sz w:val="32"/>
          <w:szCs w:val="32"/>
        </w:rPr>
        <w:t>湘商回归</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娄商返娄</w:t>
      </w:r>
      <w:r>
        <w:rPr>
          <w:rFonts w:hint="eastAsia" w:eastAsia="仿宋_GB2312"/>
          <w:sz w:val="32"/>
          <w:szCs w:val="32"/>
        </w:rPr>
        <w:t>”</w:t>
      </w:r>
      <w:r>
        <w:rPr>
          <w:rFonts w:eastAsia="仿宋_GB2312"/>
          <w:sz w:val="32"/>
          <w:szCs w:val="32"/>
        </w:rPr>
        <w:t>战略，诚邀共计550余名娄商回到家乡参加第六届全球娄商大会。升华了</w:t>
      </w:r>
      <w:r>
        <w:rPr>
          <w:rFonts w:hint="eastAsia" w:eastAsia="仿宋_GB2312"/>
          <w:sz w:val="32"/>
          <w:szCs w:val="32"/>
        </w:rPr>
        <w:t>“</w:t>
      </w:r>
      <w:r>
        <w:rPr>
          <w:rFonts w:eastAsia="仿宋_GB2312"/>
          <w:sz w:val="32"/>
          <w:szCs w:val="32"/>
        </w:rPr>
        <w:t>经世致用、崇德尚义、敢为人先、善作善成</w:t>
      </w:r>
      <w:r>
        <w:rPr>
          <w:rFonts w:hint="eastAsia" w:eastAsia="仿宋_GB2312"/>
          <w:sz w:val="32"/>
          <w:szCs w:val="32"/>
        </w:rPr>
        <w:t>”</w:t>
      </w:r>
      <w:r>
        <w:rPr>
          <w:rFonts w:eastAsia="仿宋_GB2312"/>
          <w:sz w:val="32"/>
          <w:szCs w:val="32"/>
        </w:rPr>
        <w:t>的新时代娄商精神。举行了娄商之歌《天地这方》首发式和《传奇娄商》报告文学集新书发布式，邀请中央电视台原著名主持人王志、中国民营经济研究专家管清友、三一集团总裁唐修国等和市委副书记、市长曾超群开展新娄商论道，畅谈对民营经济高质量发展的所思、所想、所愿。现场签约32个重点招商引资项目，投资总额545.5亿元。深入推进</w:t>
      </w:r>
      <w:r>
        <w:rPr>
          <w:rFonts w:hint="eastAsia" w:eastAsia="仿宋_GB2312"/>
          <w:sz w:val="32"/>
          <w:szCs w:val="32"/>
        </w:rPr>
        <w:t>“</w:t>
      </w:r>
      <w:r>
        <w:rPr>
          <w:rFonts w:eastAsia="仿宋_GB2312"/>
          <w:sz w:val="32"/>
          <w:szCs w:val="32"/>
        </w:rPr>
        <w:t>万企兴万村</w:t>
      </w:r>
      <w:r>
        <w:rPr>
          <w:rFonts w:hint="eastAsia" w:eastAsia="仿宋_GB2312"/>
          <w:sz w:val="32"/>
          <w:szCs w:val="32"/>
        </w:rPr>
        <w:t>”</w:t>
      </w:r>
      <w:r>
        <w:rPr>
          <w:rFonts w:eastAsia="仿宋_GB2312"/>
          <w:sz w:val="32"/>
          <w:szCs w:val="32"/>
        </w:rPr>
        <w:t>活动，引导411家民营企业投资37.9亿元开展</w:t>
      </w:r>
      <w:r>
        <w:rPr>
          <w:rFonts w:hint="eastAsia" w:eastAsia="仿宋_GB2312"/>
          <w:sz w:val="32"/>
          <w:szCs w:val="32"/>
        </w:rPr>
        <w:t>“</w:t>
      </w:r>
      <w:r>
        <w:rPr>
          <w:rFonts w:eastAsia="仿宋_GB2312"/>
          <w:sz w:val="32"/>
          <w:szCs w:val="32"/>
        </w:rPr>
        <w:t>兴村</w:t>
      </w:r>
      <w:r>
        <w:rPr>
          <w:rFonts w:hint="eastAsia" w:eastAsia="仿宋_GB2312"/>
          <w:sz w:val="32"/>
          <w:szCs w:val="32"/>
        </w:rPr>
        <w:t>”</w:t>
      </w:r>
      <w:r>
        <w:rPr>
          <w:rFonts w:eastAsia="仿宋_GB2312"/>
          <w:sz w:val="32"/>
          <w:szCs w:val="32"/>
        </w:rPr>
        <w:t>项目457个，对口帮扶358个村；持续推进</w:t>
      </w:r>
      <w:r>
        <w:rPr>
          <w:rFonts w:hint="eastAsia" w:eastAsia="仿宋_GB2312"/>
          <w:sz w:val="32"/>
          <w:szCs w:val="32"/>
        </w:rPr>
        <w:t>“</w:t>
      </w:r>
      <w:r>
        <w:rPr>
          <w:rFonts w:eastAsia="仿宋_GB2312"/>
          <w:sz w:val="32"/>
          <w:szCs w:val="32"/>
        </w:rPr>
        <w:t>帮扶千村 破零倍增</w:t>
      </w:r>
      <w:r>
        <w:rPr>
          <w:rFonts w:hint="eastAsia" w:eastAsia="仿宋_GB2312"/>
          <w:sz w:val="32"/>
          <w:szCs w:val="32"/>
        </w:rPr>
        <w:t>”</w:t>
      </w:r>
      <w:r>
        <w:rPr>
          <w:rFonts w:eastAsia="仿宋_GB2312"/>
          <w:sz w:val="32"/>
          <w:szCs w:val="32"/>
        </w:rPr>
        <w:t>重点帮扶集体经济薄弱村专项行动，对口帮扶薄弱村近100个；组织开展</w:t>
      </w:r>
      <w:r>
        <w:rPr>
          <w:rFonts w:hint="eastAsia" w:eastAsia="仿宋_GB2312"/>
          <w:sz w:val="32"/>
          <w:szCs w:val="32"/>
        </w:rPr>
        <w:t>“</w:t>
      </w:r>
      <w:r>
        <w:rPr>
          <w:rFonts w:eastAsia="仿宋_GB2312"/>
          <w:sz w:val="32"/>
          <w:szCs w:val="32"/>
        </w:rPr>
        <w:t>助力乡村振兴·鲁商同心助学</w:t>
      </w:r>
      <w:r>
        <w:rPr>
          <w:rFonts w:hint="eastAsia" w:eastAsia="仿宋_GB2312"/>
          <w:sz w:val="32"/>
          <w:szCs w:val="32"/>
        </w:rPr>
        <w:t>”</w:t>
      </w:r>
      <w:r>
        <w:rPr>
          <w:rFonts w:eastAsia="仿宋_GB2312"/>
          <w:sz w:val="32"/>
          <w:szCs w:val="32"/>
        </w:rPr>
        <w:t>爱心公益捐赠活动，向全市义务教育阶段中小学校捐赠爱心物品及爱心款共计近300万元；在2023年度</w:t>
      </w:r>
      <w:r>
        <w:rPr>
          <w:rFonts w:hint="eastAsia" w:eastAsia="仿宋_GB2312"/>
          <w:sz w:val="32"/>
          <w:szCs w:val="32"/>
        </w:rPr>
        <w:t>“</w:t>
      </w:r>
      <w:r>
        <w:rPr>
          <w:rFonts w:eastAsia="仿宋_GB2312"/>
          <w:sz w:val="32"/>
          <w:szCs w:val="32"/>
        </w:rPr>
        <w:t>万企兴万村</w:t>
      </w:r>
      <w:r>
        <w:rPr>
          <w:rFonts w:hint="eastAsia" w:eastAsia="仿宋_GB2312"/>
          <w:sz w:val="32"/>
          <w:szCs w:val="32"/>
        </w:rPr>
        <w:t>”</w:t>
      </w:r>
      <w:r>
        <w:rPr>
          <w:rFonts w:eastAsia="仿宋_GB2312"/>
          <w:sz w:val="32"/>
          <w:szCs w:val="32"/>
        </w:rPr>
        <w:t>行动典型选树创建工作中，娄底市娄星区和娄底市女企业家联合会分别被评为全省</w:t>
      </w:r>
      <w:r>
        <w:rPr>
          <w:rFonts w:hint="eastAsia" w:eastAsia="仿宋_GB2312"/>
          <w:sz w:val="32"/>
          <w:szCs w:val="32"/>
        </w:rPr>
        <w:t>“</w:t>
      </w:r>
      <w:r>
        <w:rPr>
          <w:rFonts w:eastAsia="仿宋_GB2312"/>
          <w:sz w:val="32"/>
          <w:szCs w:val="32"/>
        </w:rPr>
        <w:t>万企兴万村</w:t>
      </w:r>
      <w:r>
        <w:rPr>
          <w:rFonts w:hint="eastAsia" w:eastAsia="仿宋_GB2312"/>
          <w:sz w:val="32"/>
          <w:szCs w:val="32"/>
        </w:rPr>
        <w:t>”</w:t>
      </w:r>
      <w:r>
        <w:rPr>
          <w:rFonts w:eastAsia="仿宋_GB2312"/>
          <w:sz w:val="32"/>
          <w:szCs w:val="32"/>
        </w:rPr>
        <w:t>行动典型县、典型商会。</w:t>
      </w:r>
    </w:p>
    <w:p w14:paraId="181097E4">
      <w:pPr>
        <w:overflowPunct w:val="0"/>
        <w:spacing w:line="630" w:lineRule="exact"/>
        <w:ind w:firstLine="640" w:firstLineChars="200"/>
        <w:rPr>
          <w:rFonts w:hint="eastAsia" w:eastAsia="仿宋_GB2312"/>
          <w:sz w:val="32"/>
          <w:szCs w:val="32"/>
        </w:rPr>
      </w:pPr>
      <w:r>
        <w:rPr>
          <w:rFonts w:eastAsia="仿宋_GB2312"/>
          <w:sz w:val="32"/>
          <w:szCs w:val="32"/>
        </w:rPr>
        <w:t>可持续发展能力方面：严格按相关要求和工作程序，筹备好工商联（总商会）第五届二次执委会议人事增补工作，推动领导班子和执常委组织结构更趋合理，为全市工商联事业注入了新鲜血液，增添了新的实力和活力。进一步优化了县市区工商联领导班子结构，强化了县级工商联组织建设。成功推荐了三一、蓝思科技、大汉、博长、五江等5家娄商企业入围2022三湘民营企业百强榜前十强。加快推进</w:t>
      </w:r>
      <w:r>
        <w:rPr>
          <w:rFonts w:hint="eastAsia" w:eastAsia="仿宋_GB2312"/>
          <w:sz w:val="32"/>
          <w:szCs w:val="32"/>
        </w:rPr>
        <w:t>“</w:t>
      </w:r>
      <w:r>
        <w:rPr>
          <w:rFonts w:eastAsia="仿宋_GB2312"/>
          <w:sz w:val="32"/>
          <w:szCs w:val="32"/>
        </w:rPr>
        <w:t>智赋万企</w:t>
      </w:r>
      <w:r>
        <w:rPr>
          <w:rFonts w:hint="eastAsia" w:eastAsia="仿宋_GB2312"/>
          <w:sz w:val="32"/>
          <w:szCs w:val="32"/>
        </w:rPr>
        <w:t>”</w:t>
      </w:r>
      <w:r>
        <w:rPr>
          <w:rFonts w:eastAsia="仿宋_GB2312"/>
          <w:sz w:val="32"/>
          <w:szCs w:val="32"/>
        </w:rPr>
        <w:t>行动走深走实，4家企业被推选为标杆示范企业。</w:t>
      </w:r>
    </w:p>
    <w:p w14:paraId="3D030C17">
      <w:pPr>
        <w:overflowPunct w:val="0"/>
        <w:spacing w:line="630" w:lineRule="exact"/>
        <w:ind w:firstLine="640" w:firstLineChars="200"/>
        <w:rPr>
          <w:rFonts w:eastAsia="仿宋_GB2312"/>
          <w:sz w:val="32"/>
          <w:szCs w:val="32"/>
        </w:rPr>
      </w:pPr>
      <w:r>
        <w:rPr>
          <w:rFonts w:eastAsia="仿宋_GB2312"/>
          <w:sz w:val="32"/>
          <w:szCs w:val="32"/>
        </w:rPr>
        <w:t>服务对象满意度方面：政治引领、教育培训得到了广大民营企业家的积极响应和和广泛参与。调查研究、参政议政畅通了民营企业反映意见诉求的渠道，为广大非公有制经济人士有序参与政治生活和社会事务管理提供了支持。受到社会的广泛赞誉。</w:t>
      </w:r>
    </w:p>
    <w:p w14:paraId="5A1DF235">
      <w:pPr>
        <w:pStyle w:val="2"/>
        <w:ind w:firstLine="240"/>
      </w:pPr>
    </w:p>
    <w:p w14:paraId="6A6E8435">
      <w:pPr>
        <w:widowControl/>
        <w:autoSpaceDN w:val="0"/>
        <w:spacing w:line="360" w:lineRule="auto"/>
        <w:ind w:left="420" w:leftChars="200"/>
        <w:rPr>
          <w:rFonts w:ascii="楷体" w:hAnsi="楷体" w:eastAsia="楷体" w:cs="楷体"/>
          <w:b/>
          <w:bCs/>
          <w:kern w:val="0"/>
          <w:sz w:val="32"/>
          <w:szCs w:val="32"/>
        </w:rPr>
      </w:pPr>
      <w:r>
        <w:rPr>
          <w:rFonts w:hint="eastAsia" w:ascii="楷体" w:hAnsi="楷体" w:eastAsia="楷体" w:cs="楷体"/>
          <w:b/>
          <w:bCs/>
          <w:kern w:val="0"/>
          <w:sz w:val="32"/>
          <w:szCs w:val="32"/>
        </w:rPr>
        <w:t>（四）加强部门整体支出绩效管理的举措。</w:t>
      </w:r>
    </w:p>
    <w:p w14:paraId="385F4A2F">
      <w:pPr>
        <w:pStyle w:val="10"/>
        <w:shd w:val="clear" w:color="auto" w:fill="FFFFFF"/>
        <w:spacing w:before="225" w:beforeAutospacing="0" w:after="225" w:afterAutospacing="0"/>
        <w:ind w:firstLine="42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1、深入推进绩效管理。2、健全预算绩效目标信息披露机制。3、加强绩效结果应用。</w:t>
      </w:r>
    </w:p>
    <w:p w14:paraId="51AF0B40">
      <w:pPr>
        <w:pStyle w:val="10"/>
        <w:shd w:val="clear" w:color="auto" w:fill="FFFFFF"/>
        <w:spacing w:before="225" w:beforeAutospacing="0" w:after="225" w:afterAutospacing="0"/>
        <w:ind w:firstLine="420"/>
        <w:jc w:val="both"/>
        <w:rPr>
          <w:rFonts w:eastAsia="黑体"/>
          <w:color w:val="000000"/>
          <w:sz w:val="32"/>
          <w:szCs w:val="32"/>
        </w:rPr>
      </w:pPr>
      <w:r>
        <w:rPr>
          <w:rFonts w:hint="eastAsia" w:eastAsia="黑体"/>
          <w:color w:val="000000"/>
          <w:sz w:val="32"/>
          <w:szCs w:val="32"/>
        </w:rPr>
        <w:t>四、体</w:t>
      </w:r>
      <w:r>
        <w:rPr>
          <w:rFonts w:eastAsia="黑体"/>
          <w:color w:val="000000"/>
          <w:sz w:val="32"/>
          <w:szCs w:val="32"/>
        </w:rPr>
        <w:t>体评价和自评得分情况</w:t>
      </w:r>
    </w:p>
    <w:p w14:paraId="448485A3">
      <w:pPr>
        <w:shd w:val="clear" w:color="auto" w:fill="FFFFFF"/>
        <w:overflowPunct w:val="0"/>
        <w:spacing w:line="630" w:lineRule="exact"/>
        <w:ind w:firstLine="640" w:firstLineChars="200"/>
        <w:rPr>
          <w:rFonts w:eastAsia="仿宋_GB2312"/>
          <w:sz w:val="32"/>
          <w:szCs w:val="32"/>
        </w:rPr>
      </w:pPr>
      <w:r>
        <w:rPr>
          <w:rFonts w:eastAsia="仿宋_GB2312"/>
          <w:sz w:val="32"/>
          <w:szCs w:val="32"/>
        </w:rPr>
        <w:t>（一）市绩效办对202</w:t>
      </w:r>
      <w:r>
        <w:rPr>
          <w:rFonts w:hint="eastAsia" w:eastAsia="仿宋_GB2312"/>
          <w:sz w:val="32"/>
          <w:szCs w:val="32"/>
        </w:rPr>
        <w:t>3</w:t>
      </w:r>
      <w:r>
        <w:rPr>
          <w:rFonts w:eastAsia="仿宋_GB2312"/>
          <w:sz w:val="32"/>
          <w:szCs w:val="32"/>
        </w:rPr>
        <w:t>年度部门（单位）的绩效评估考核结果。</w:t>
      </w:r>
    </w:p>
    <w:p w14:paraId="0FD0AD53">
      <w:pPr>
        <w:shd w:val="clear" w:color="auto" w:fill="FFFFFF"/>
        <w:overflowPunct w:val="0"/>
        <w:spacing w:line="630" w:lineRule="exact"/>
        <w:ind w:firstLine="640" w:firstLineChars="200"/>
        <w:rPr>
          <w:rFonts w:eastAsia="仿宋_GB2312"/>
          <w:sz w:val="32"/>
          <w:szCs w:val="32"/>
        </w:rPr>
      </w:pPr>
      <w:r>
        <w:rPr>
          <w:rFonts w:hint="eastAsia" w:eastAsia="仿宋_GB2312"/>
          <w:sz w:val="32"/>
          <w:szCs w:val="32"/>
        </w:rPr>
        <w:t>2023年单位的绩效评估考核结果为良好等次</w:t>
      </w:r>
    </w:p>
    <w:p w14:paraId="27F81DC9">
      <w:pPr>
        <w:shd w:val="clear" w:color="auto" w:fill="FFFFFF"/>
        <w:overflowPunct w:val="0"/>
        <w:spacing w:line="630" w:lineRule="exact"/>
        <w:ind w:firstLine="640" w:firstLineChars="200"/>
        <w:rPr>
          <w:rFonts w:eastAsia="仿宋_GB2312"/>
          <w:sz w:val="32"/>
          <w:szCs w:val="32"/>
        </w:rPr>
      </w:pPr>
      <w:r>
        <w:rPr>
          <w:rFonts w:eastAsia="仿宋_GB2312"/>
          <w:sz w:val="32"/>
          <w:szCs w:val="32"/>
        </w:rPr>
        <w:t>（二）自评得分情况：根据年初的绩效考核工作计划和目标，较好地完成了全年的目标工作任务，自评为</w:t>
      </w:r>
      <w:r>
        <w:rPr>
          <w:rFonts w:hint="eastAsia" w:eastAsia="仿宋_GB2312"/>
          <w:sz w:val="32"/>
          <w:szCs w:val="32"/>
        </w:rPr>
        <w:t>9</w:t>
      </w:r>
      <w:r>
        <w:rPr>
          <w:rFonts w:eastAsia="仿宋_GB2312"/>
          <w:sz w:val="32"/>
          <w:szCs w:val="32"/>
        </w:rPr>
        <w:t>0分。</w:t>
      </w:r>
    </w:p>
    <w:p w14:paraId="50D4EE3F">
      <w:pPr>
        <w:pStyle w:val="26"/>
        <w:overflowPunct w:val="0"/>
        <w:spacing w:line="630" w:lineRule="exact"/>
        <w:ind w:firstLine="640"/>
        <w:rPr>
          <w:rFonts w:ascii="Times New Roman" w:hAnsi="Times New Roman" w:eastAsia="黑体"/>
          <w:sz w:val="32"/>
          <w:szCs w:val="32"/>
        </w:rPr>
      </w:pPr>
      <w:r>
        <w:rPr>
          <w:rFonts w:ascii="Times New Roman" w:hAnsi="Times New Roman" w:eastAsia="黑体"/>
          <w:color w:val="000000"/>
          <w:kern w:val="0"/>
          <w:sz w:val="32"/>
          <w:szCs w:val="32"/>
        </w:rPr>
        <w:t>五、</w:t>
      </w:r>
      <w:r>
        <w:rPr>
          <w:rFonts w:ascii="Times New Roman" w:hAnsi="Times New Roman" w:eastAsia="黑体"/>
          <w:sz w:val="32"/>
          <w:szCs w:val="32"/>
        </w:rPr>
        <w:t>存在的问题及原因分析</w:t>
      </w:r>
    </w:p>
    <w:p w14:paraId="7B1CACA8">
      <w:pPr>
        <w:shd w:val="clear" w:color="auto" w:fill="FFFFFF"/>
        <w:overflowPunct w:val="0"/>
        <w:spacing w:line="630" w:lineRule="exact"/>
        <w:ind w:firstLine="640" w:firstLineChars="200"/>
        <w:rPr>
          <w:rFonts w:eastAsia="仿宋"/>
          <w:color w:val="000000"/>
          <w:kern w:val="0"/>
          <w:sz w:val="32"/>
          <w:szCs w:val="32"/>
        </w:rPr>
      </w:pPr>
      <w:r>
        <w:rPr>
          <w:rFonts w:eastAsia="仿宋_GB2312"/>
          <w:sz w:val="32"/>
          <w:szCs w:val="32"/>
        </w:rPr>
        <w:t>预算管理不够精细。在预算管理过程中，需加强内设机构的协调联动，保证预算编制的合理与精细，并加强与财政部门的沟通和协调，确保预算资金的及时下达。</w:t>
      </w:r>
      <w:r>
        <w:rPr>
          <w:rFonts w:eastAsia="仿宋"/>
          <w:color w:val="000000"/>
          <w:kern w:val="0"/>
          <w:sz w:val="32"/>
          <w:szCs w:val="32"/>
        </w:rPr>
        <w:t>  </w:t>
      </w:r>
    </w:p>
    <w:p w14:paraId="4E235467">
      <w:pPr>
        <w:overflowPunct w:val="0"/>
        <w:spacing w:line="630" w:lineRule="exact"/>
        <w:ind w:firstLine="640" w:firstLineChars="200"/>
        <w:rPr>
          <w:rFonts w:eastAsia="黑体"/>
          <w:sz w:val="32"/>
          <w:szCs w:val="32"/>
        </w:rPr>
      </w:pPr>
      <w:r>
        <w:rPr>
          <w:rFonts w:eastAsia="黑体"/>
          <w:sz w:val="32"/>
          <w:szCs w:val="32"/>
        </w:rPr>
        <w:t>六、下一步改进措施</w:t>
      </w:r>
    </w:p>
    <w:p w14:paraId="4C6DFCB4">
      <w:pPr>
        <w:shd w:val="clear" w:color="auto" w:fill="FFFFFF"/>
        <w:overflowPunct w:val="0"/>
        <w:spacing w:line="630" w:lineRule="exact"/>
        <w:ind w:firstLine="640" w:firstLineChars="200"/>
        <w:rPr>
          <w:rFonts w:eastAsia="仿宋_GB2312"/>
          <w:sz w:val="32"/>
          <w:szCs w:val="32"/>
        </w:rPr>
      </w:pPr>
      <w:r>
        <w:rPr>
          <w:rFonts w:eastAsia="仿宋_GB2312"/>
          <w:sz w:val="32"/>
          <w:szCs w:val="32"/>
        </w:rPr>
        <w:t>（一）提升整体预算编制工作的精细化和科学化水平。加强预算管理意识，严格按照预算编制的相关制度和要求进行预算编制。全面编制预算项目，优先保障固定性的、相对刚性的费用支出项目，尽量压缩变动性的、有控制空间的费用项目，提高预算编制的科学性、严谨性和可控性。（二）强化财政预算执行的刚性约束。严格按照预算项目进行，不随意调整和变更预算，确保预算的刚性。做好与财政部门的衔接协调，发挥预算资金的使用效益。</w:t>
      </w:r>
    </w:p>
    <w:p w14:paraId="172044BE">
      <w:pPr>
        <w:shd w:val="clear" w:color="auto" w:fill="FFFFFF"/>
        <w:overflowPunct w:val="0"/>
        <w:spacing w:line="630" w:lineRule="exact"/>
        <w:ind w:firstLine="640" w:firstLineChars="200"/>
        <w:rPr>
          <w:rFonts w:eastAsia="仿宋_GB2312"/>
          <w:sz w:val="32"/>
          <w:szCs w:val="32"/>
        </w:rPr>
      </w:pPr>
      <w:r>
        <w:rPr>
          <w:rFonts w:eastAsia="仿宋_GB2312"/>
          <w:sz w:val="32"/>
          <w:szCs w:val="32"/>
        </w:rPr>
        <w:t>（三）严格财务管理监督。按照预算规定的费用项目和用途进行资金使用审核、列报支付、财务核算；严格控制</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经费的规模和比例，杜绝挪用和挤占其他预算资金行为，严把</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经费支出审核、审批关口，细化</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经费的管理，合理压缩</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经费支出。</w:t>
      </w:r>
    </w:p>
    <w:p w14:paraId="6E46646F">
      <w:pPr>
        <w:overflowPunct w:val="0"/>
        <w:spacing w:line="630" w:lineRule="exact"/>
        <w:ind w:firstLine="645"/>
        <w:rPr>
          <w:rFonts w:eastAsia="黑体"/>
          <w:sz w:val="32"/>
          <w:szCs w:val="32"/>
        </w:rPr>
      </w:pPr>
      <w:r>
        <w:rPr>
          <w:rFonts w:eastAsia="黑体"/>
          <w:sz w:val="32"/>
          <w:szCs w:val="32"/>
        </w:rPr>
        <w:t>七、部门整体支出绩效自评结果拟应用和公开情况</w:t>
      </w:r>
    </w:p>
    <w:p w14:paraId="5C7DD054">
      <w:pPr>
        <w:shd w:val="clear" w:color="auto" w:fill="FFFFFF"/>
        <w:overflowPunct w:val="0"/>
        <w:spacing w:line="630" w:lineRule="exact"/>
        <w:ind w:firstLine="640" w:firstLineChars="200"/>
        <w:rPr>
          <w:rFonts w:eastAsia="仿宋_GB2312"/>
          <w:sz w:val="32"/>
          <w:szCs w:val="32"/>
        </w:rPr>
      </w:pPr>
      <w:r>
        <w:rPr>
          <w:rFonts w:eastAsia="仿宋_GB2312"/>
          <w:sz w:val="32"/>
          <w:szCs w:val="32"/>
        </w:rPr>
        <w:t>本部门将自评结果作为下一年度预算安排和编制的依据，将有力提高预算制定的科学性和有效性，并按规定公开。</w:t>
      </w:r>
    </w:p>
    <w:p w14:paraId="11283838">
      <w:pPr>
        <w:jc w:val="center"/>
        <w:rPr>
          <w:rFonts w:hint="eastAsia" w:ascii="方正小标宋简体" w:hAnsi="方正小标宋简体" w:eastAsia="方正小标宋简体" w:cs="方正小标宋简体"/>
          <w:sz w:val="32"/>
          <w:szCs w:val="32"/>
          <w:lang w:eastAsia="zh-CN"/>
        </w:rPr>
      </w:pPr>
      <w:r>
        <w:rPr>
          <w:rFonts w:eastAsia="仿宋_GB2312"/>
          <w:sz w:val="32"/>
          <w:szCs w:val="32"/>
        </w:rPr>
        <w:br w:type="page"/>
      </w:r>
      <w:r>
        <w:rPr>
          <w:rFonts w:hint="eastAsia" w:ascii="方正小标宋简体" w:hAnsi="方正小标宋简体" w:eastAsia="方正小标宋简体" w:cs="方正小标宋简体"/>
          <w:sz w:val="32"/>
          <w:szCs w:val="32"/>
          <w:lang w:eastAsia="zh-CN"/>
        </w:rPr>
        <w:t>基础数据表</w:t>
      </w:r>
    </w:p>
    <w:tbl>
      <w:tblPr>
        <w:tblW w:w="81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005"/>
        <w:gridCol w:w="1828"/>
        <w:gridCol w:w="1668"/>
        <w:gridCol w:w="1617"/>
      </w:tblGrid>
      <w:tr w14:paraId="4FD7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46" w:hRule="atLeast"/>
        </w:trPr>
        <w:tc>
          <w:tcPr>
            <w:tcW w:w="3005" w:type="dxa"/>
            <w:vMerge w:val="restart"/>
            <w:shd w:val="clear"/>
            <w:noWrap/>
            <w:vAlign w:val="center"/>
          </w:tcPr>
          <w:p w14:paraId="74317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财政供养人员情况</w:t>
            </w:r>
          </w:p>
        </w:tc>
        <w:tc>
          <w:tcPr>
            <w:tcW w:w="1828" w:type="dxa"/>
            <w:shd w:val="clear"/>
            <w:noWrap/>
            <w:vAlign w:val="center"/>
          </w:tcPr>
          <w:p w14:paraId="404A2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编制数</w:t>
            </w:r>
          </w:p>
        </w:tc>
        <w:tc>
          <w:tcPr>
            <w:tcW w:w="1668" w:type="dxa"/>
            <w:shd w:val="clear"/>
            <w:noWrap/>
            <w:vAlign w:val="center"/>
          </w:tcPr>
          <w:p w14:paraId="2708DC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2023年实际在职人数</w:t>
            </w:r>
          </w:p>
        </w:tc>
        <w:tc>
          <w:tcPr>
            <w:tcW w:w="1617" w:type="dxa"/>
            <w:shd w:val="clear"/>
            <w:noWrap/>
            <w:vAlign w:val="center"/>
          </w:tcPr>
          <w:p w14:paraId="05787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控制率</w:t>
            </w:r>
          </w:p>
        </w:tc>
      </w:tr>
      <w:tr w14:paraId="297A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vMerge w:val="continue"/>
            <w:shd w:val="clear"/>
            <w:noWrap/>
            <w:vAlign w:val="center"/>
          </w:tcPr>
          <w:p w14:paraId="527B8230">
            <w:pPr>
              <w:jc w:val="center"/>
              <w:rPr>
                <w:rFonts w:hint="eastAsia" w:ascii="宋体" w:hAnsi="宋体" w:eastAsia="宋体" w:cs="宋体"/>
                <w:b/>
                <w:bCs/>
                <w:i w:val="0"/>
                <w:iCs w:val="0"/>
                <w:color w:val="000000"/>
                <w:sz w:val="22"/>
                <w:szCs w:val="22"/>
                <w:u w:val="none"/>
              </w:rPr>
            </w:pPr>
          </w:p>
        </w:tc>
        <w:tc>
          <w:tcPr>
            <w:tcW w:w="1828" w:type="dxa"/>
            <w:shd w:val="clear"/>
            <w:noWrap/>
            <w:vAlign w:val="center"/>
          </w:tcPr>
          <w:p w14:paraId="5A399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68" w:type="dxa"/>
            <w:shd w:val="clear"/>
            <w:noWrap/>
            <w:vAlign w:val="center"/>
          </w:tcPr>
          <w:p w14:paraId="2D887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17" w:type="dxa"/>
            <w:shd w:val="clear"/>
            <w:noWrap/>
            <w:vAlign w:val="center"/>
          </w:tcPr>
          <w:p w14:paraId="0AFB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r>
      <w:tr w14:paraId="0AFC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05" w:type="dxa"/>
            <w:shd w:val="clear"/>
            <w:noWrap/>
            <w:vAlign w:val="center"/>
          </w:tcPr>
          <w:p w14:paraId="4E1986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经费控制情况(万元)</w:t>
            </w:r>
          </w:p>
        </w:tc>
        <w:tc>
          <w:tcPr>
            <w:tcW w:w="1828" w:type="dxa"/>
            <w:shd w:val="clear"/>
            <w:noWrap/>
            <w:vAlign w:val="center"/>
          </w:tcPr>
          <w:p w14:paraId="48EDD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2022年决算数</w:t>
            </w:r>
          </w:p>
        </w:tc>
        <w:tc>
          <w:tcPr>
            <w:tcW w:w="1668" w:type="dxa"/>
            <w:shd w:val="clear"/>
            <w:noWrap/>
            <w:vAlign w:val="center"/>
          </w:tcPr>
          <w:p w14:paraId="557E2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2023年预算数</w:t>
            </w:r>
          </w:p>
        </w:tc>
        <w:tc>
          <w:tcPr>
            <w:tcW w:w="1617" w:type="dxa"/>
            <w:shd w:val="clear"/>
            <w:noWrap/>
            <w:vAlign w:val="center"/>
          </w:tcPr>
          <w:p w14:paraId="17FD0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2023年决算数</w:t>
            </w:r>
          </w:p>
        </w:tc>
      </w:tr>
      <w:tr w14:paraId="0C29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5EA91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三公经费</w:t>
            </w:r>
          </w:p>
        </w:tc>
        <w:tc>
          <w:tcPr>
            <w:tcW w:w="1828" w:type="dxa"/>
            <w:shd w:val="clear"/>
            <w:noWrap/>
            <w:vAlign w:val="center"/>
          </w:tcPr>
          <w:p w14:paraId="3FB75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7.22</w:t>
            </w:r>
          </w:p>
        </w:tc>
        <w:tc>
          <w:tcPr>
            <w:tcW w:w="1668" w:type="dxa"/>
            <w:shd w:val="clear"/>
            <w:noWrap/>
            <w:vAlign w:val="center"/>
          </w:tcPr>
          <w:p w14:paraId="1C4B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8.58</w:t>
            </w:r>
          </w:p>
        </w:tc>
        <w:tc>
          <w:tcPr>
            <w:tcW w:w="1617" w:type="dxa"/>
            <w:shd w:val="clear"/>
            <w:noWrap/>
            <w:vAlign w:val="center"/>
          </w:tcPr>
          <w:p w14:paraId="723ED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8.55</w:t>
            </w:r>
          </w:p>
        </w:tc>
      </w:tr>
      <w:tr w14:paraId="19D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4783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1、公务用车购置和维护经费</w:t>
            </w:r>
          </w:p>
        </w:tc>
        <w:tc>
          <w:tcPr>
            <w:tcW w:w="1828" w:type="dxa"/>
            <w:shd w:val="clear"/>
            <w:noWrap/>
            <w:vAlign w:val="center"/>
          </w:tcPr>
          <w:p w14:paraId="2906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1668" w:type="dxa"/>
            <w:shd w:val="clear"/>
            <w:noWrap/>
            <w:vAlign w:val="center"/>
          </w:tcPr>
          <w:p w14:paraId="4146C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1617" w:type="dxa"/>
            <w:shd w:val="clear"/>
            <w:noWrap/>
            <w:vAlign w:val="center"/>
          </w:tcPr>
          <w:p w14:paraId="02004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r>
      <w:tr w14:paraId="7137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2917C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其中：公车购置</w:t>
            </w:r>
          </w:p>
        </w:tc>
        <w:tc>
          <w:tcPr>
            <w:tcW w:w="1828" w:type="dxa"/>
            <w:shd w:val="clear"/>
            <w:noWrap/>
            <w:vAlign w:val="center"/>
          </w:tcPr>
          <w:p w14:paraId="7E66BD21">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4BDBDAFB">
            <w:pPr>
              <w:jc w:val="center"/>
              <w:rPr>
                <w:rFonts w:hint="eastAsia" w:ascii="宋体" w:hAnsi="宋体" w:eastAsia="宋体" w:cs="宋体"/>
                <w:i w:val="0"/>
                <w:iCs w:val="0"/>
                <w:color w:val="000000"/>
                <w:sz w:val="22"/>
                <w:szCs w:val="22"/>
                <w:u w:val="none"/>
              </w:rPr>
            </w:pPr>
          </w:p>
        </w:tc>
        <w:tc>
          <w:tcPr>
            <w:tcW w:w="1617" w:type="dxa"/>
            <w:shd w:val="clear"/>
            <w:noWrap/>
            <w:vAlign w:val="center"/>
          </w:tcPr>
          <w:p w14:paraId="59EDC4F6">
            <w:pPr>
              <w:jc w:val="center"/>
              <w:rPr>
                <w:rFonts w:hint="eastAsia" w:ascii="宋体" w:hAnsi="宋体" w:eastAsia="宋体" w:cs="宋体"/>
                <w:i w:val="0"/>
                <w:iCs w:val="0"/>
                <w:color w:val="000000"/>
                <w:sz w:val="22"/>
                <w:szCs w:val="22"/>
                <w:u w:val="none"/>
              </w:rPr>
            </w:pPr>
          </w:p>
        </w:tc>
      </w:tr>
      <w:tr w14:paraId="400B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26495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公车运行维护</w:t>
            </w:r>
          </w:p>
        </w:tc>
        <w:tc>
          <w:tcPr>
            <w:tcW w:w="1828" w:type="dxa"/>
            <w:shd w:val="clear"/>
            <w:noWrap/>
            <w:vAlign w:val="center"/>
          </w:tcPr>
          <w:p w14:paraId="42248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1668" w:type="dxa"/>
            <w:shd w:val="clear"/>
            <w:noWrap/>
            <w:vAlign w:val="center"/>
          </w:tcPr>
          <w:p w14:paraId="2EF1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1617" w:type="dxa"/>
            <w:shd w:val="clear"/>
            <w:noWrap/>
            <w:vAlign w:val="center"/>
          </w:tcPr>
          <w:p w14:paraId="6A682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r>
      <w:tr w14:paraId="1C4B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015D6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2、出国经费</w:t>
            </w:r>
          </w:p>
        </w:tc>
        <w:tc>
          <w:tcPr>
            <w:tcW w:w="1828" w:type="dxa"/>
            <w:shd w:val="clear"/>
            <w:noWrap/>
            <w:vAlign w:val="center"/>
          </w:tcPr>
          <w:p w14:paraId="6B01D55A">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47DED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1617" w:type="dxa"/>
            <w:shd w:val="clear"/>
            <w:noWrap/>
            <w:vAlign w:val="center"/>
          </w:tcPr>
          <w:p w14:paraId="2316F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r>
      <w:tr w14:paraId="413E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24864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3、公务接待</w:t>
            </w:r>
          </w:p>
        </w:tc>
        <w:tc>
          <w:tcPr>
            <w:tcW w:w="1828" w:type="dxa"/>
            <w:shd w:val="clear"/>
            <w:noWrap/>
            <w:vAlign w:val="center"/>
          </w:tcPr>
          <w:p w14:paraId="216DB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w:t>
            </w:r>
          </w:p>
        </w:tc>
        <w:tc>
          <w:tcPr>
            <w:tcW w:w="1668" w:type="dxa"/>
            <w:shd w:val="clear"/>
            <w:noWrap/>
            <w:vAlign w:val="center"/>
          </w:tcPr>
          <w:p w14:paraId="76D9B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17" w:type="dxa"/>
            <w:shd w:val="clear"/>
            <w:noWrap/>
            <w:vAlign w:val="center"/>
          </w:tcPr>
          <w:p w14:paraId="19D8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w:t>
            </w:r>
          </w:p>
        </w:tc>
      </w:tr>
      <w:tr w14:paraId="002B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7C4B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28" w:type="dxa"/>
            <w:shd w:val="clear"/>
            <w:noWrap/>
            <w:vAlign w:val="center"/>
          </w:tcPr>
          <w:p w14:paraId="567A6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668" w:type="dxa"/>
            <w:shd w:val="clear"/>
            <w:noWrap/>
            <w:vAlign w:val="center"/>
          </w:tcPr>
          <w:p w14:paraId="3C82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617" w:type="dxa"/>
            <w:shd w:val="clear"/>
            <w:noWrap/>
            <w:vAlign w:val="center"/>
          </w:tcPr>
          <w:p w14:paraId="5C93D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01E8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1BEC6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1、业务工作经费</w:t>
            </w:r>
          </w:p>
        </w:tc>
        <w:tc>
          <w:tcPr>
            <w:tcW w:w="1828" w:type="dxa"/>
            <w:shd w:val="clear"/>
            <w:noWrap/>
            <w:vAlign w:val="center"/>
          </w:tcPr>
          <w:p w14:paraId="1661F2FE">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41E22BAD">
            <w:pPr>
              <w:jc w:val="center"/>
              <w:rPr>
                <w:rFonts w:hint="eastAsia" w:ascii="宋体" w:hAnsi="宋体" w:eastAsia="宋体" w:cs="宋体"/>
                <w:i w:val="0"/>
                <w:iCs w:val="0"/>
                <w:color w:val="000000"/>
                <w:sz w:val="22"/>
                <w:szCs w:val="22"/>
                <w:u w:val="none"/>
              </w:rPr>
            </w:pPr>
          </w:p>
        </w:tc>
        <w:tc>
          <w:tcPr>
            <w:tcW w:w="1617" w:type="dxa"/>
            <w:shd w:val="clear"/>
            <w:noWrap/>
            <w:vAlign w:val="center"/>
          </w:tcPr>
          <w:p w14:paraId="4A6EA79F">
            <w:pPr>
              <w:jc w:val="center"/>
              <w:rPr>
                <w:rFonts w:hint="eastAsia" w:ascii="宋体" w:hAnsi="宋体" w:eastAsia="宋体" w:cs="宋体"/>
                <w:i w:val="0"/>
                <w:iCs w:val="0"/>
                <w:color w:val="000000"/>
                <w:sz w:val="22"/>
                <w:szCs w:val="22"/>
                <w:u w:val="none"/>
              </w:rPr>
            </w:pPr>
          </w:p>
        </w:tc>
      </w:tr>
      <w:tr w14:paraId="604E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3C734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2、运行维护经费</w:t>
            </w:r>
          </w:p>
        </w:tc>
        <w:tc>
          <w:tcPr>
            <w:tcW w:w="1828" w:type="dxa"/>
            <w:shd w:val="clear"/>
            <w:noWrap/>
            <w:vAlign w:val="center"/>
          </w:tcPr>
          <w:p w14:paraId="17BE4E9A">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01CE3C86">
            <w:pPr>
              <w:jc w:val="center"/>
              <w:rPr>
                <w:rFonts w:hint="eastAsia" w:ascii="宋体" w:hAnsi="宋体" w:eastAsia="宋体" w:cs="宋体"/>
                <w:i w:val="0"/>
                <w:iCs w:val="0"/>
                <w:color w:val="000000"/>
                <w:sz w:val="22"/>
                <w:szCs w:val="22"/>
                <w:u w:val="none"/>
              </w:rPr>
            </w:pPr>
          </w:p>
        </w:tc>
        <w:tc>
          <w:tcPr>
            <w:tcW w:w="1617" w:type="dxa"/>
            <w:shd w:val="clear"/>
            <w:noWrap/>
            <w:vAlign w:val="center"/>
          </w:tcPr>
          <w:p w14:paraId="456636CA">
            <w:pPr>
              <w:jc w:val="center"/>
              <w:rPr>
                <w:rFonts w:hint="eastAsia" w:ascii="宋体" w:hAnsi="宋体" w:eastAsia="宋体" w:cs="宋体"/>
                <w:i w:val="0"/>
                <w:iCs w:val="0"/>
                <w:color w:val="000000"/>
                <w:sz w:val="22"/>
                <w:szCs w:val="22"/>
                <w:u w:val="none"/>
              </w:rPr>
            </w:pPr>
          </w:p>
        </w:tc>
      </w:tr>
      <w:tr w14:paraId="2B63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05" w:type="dxa"/>
            <w:shd w:val="clear"/>
            <w:noWrap/>
            <w:vAlign w:val="center"/>
          </w:tcPr>
          <w:p w14:paraId="7D056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3、本级专项资金</w:t>
            </w:r>
          </w:p>
          <w:p w14:paraId="7E368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（一个专项一行）</w:t>
            </w:r>
          </w:p>
        </w:tc>
        <w:tc>
          <w:tcPr>
            <w:tcW w:w="1828" w:type="dxa"/>
            <w:shd w:val="clear"/>
            <w:noWrap/>
            <w:vAlign w:val="center"/>
          </w:tcPr>
          <w:p w14:paraId="5FFB23C4">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17532EFD">
            <w:pPr>
              <w:jc w:val="center"/>
              <w:rPr>
                <w:rFonts w:hint="eastAsia" w:ascii="宋体" w:hAnsi="宋体" w:eastAsia="宋体" w:cs="宋体"/>
                <w:i w:val="0"/>
                <w:iCs w:val="0"/>
                <w:color w:val="000000"/>
                <w:sz w:val="22"/>
                <w:szCs w:val="22"/>
                <w:u w:val="none"/>
              </w:rPr>
            </w:pPr>
          </w:p>
        </w:tc>
        <w:tc>
          <w:tcPr>
            <w:tcW w:w="1617" w:type="dxa"/>
            <w:shd w:val="clear"/>
            <w:noWrap/>
            <w:vAlign w:val="center"/>
          </w:tcPr>
          <w:p w14:paraId="3BBD34E9">
            <w:pPr>
              <w:jc w:val="center"/>
              <w:rPr>
                <w:rFonts w:hint="eastAsia" w:ascii="宋体" w:hAnsi="宋体" w:eastAsia="宋体" w:cs="宋体"/>
                <w:i w:val="0"/>
                <w:iCs w:val="0"/>
                <w:color w:val="000000"/>
                <w:sz w:val="22"/>
                <w:szCs w:val="22"/>
                <w:u w:val="none"/>
              </w:rPr>
            </w:pPr>
          </w:p>
        </w:tc>
      </w:tr>
      <w:tr w14:paraId="3469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3F363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c>
          <w:tcPr>
            <w:tcW w:w="1828" w:type="dxa"/>
            <w:shd w:val="clear"/>
            <w:noWrap/>
            <w:vAlign w:val="center"/>
          </w:tcPr>
          <w:p w14:paraId="6D569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123.52</w:t>
            </w:r>
          </w:p>
        </w:tc>
        <w:tc>
          <w:tcPr>
            <w:tcW w:w="1668" w:type="dxa"/>
            <w:shd w:val="clear"/>
            <w:noWrap/>
            <w:vAlign w:val="center"/>
          </w:tcPr>
          <w:p w14:paraId="127A7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183.61</w:t>
            </w:r>
          </w:p>
        </w:tc>
        <w:tc>
          <w:tcPr>
            <w:tcW w:w="1617" w:type="dxa"/>
            <w:shd w:val="clear"/>
            <w:noWrap/>
            <w:vAlign w:val="center"/>
          </w:tcPr>
          <w:p w14:paraId="38391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277.14</w:t>
            </w:r>
          </w:p>
        </w:tc>
      </w:tr>
      <w:tr w14:paraId="4445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12457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其中：办公经费</w:t>
            </w:r>
          </w:p>
        </w:tc>
        <w:tc>
          <w:tcPr>
            <w:tcW w:w="1828" w:type="dxa"/>
            <w:shd w:val="clear"/>
            <w:noWrap/>
            <w:vAlign w:val="center"/>
          </w:tcPr>
          <w:p w14:paraId="51A39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25.07</w:t>
            </w:r>
          </w:p>
        </w:tc>
        <w:tc>
          <w:tcPr>
            <w:tcW w:w="1668" w:type="dxa"/>
            <w:shd w:val="clear"/>
            <w:noWrap/>
            <w:vAlign w:val="center"/>
          </w:tcPr>
          <w:p w14:paraId="56522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31.45</w:t>
            </w:r>
          </w:p>
        </w:tc>
        <w:tc>
          <w:tcPr>
            <w:tcW w:w="1617" w:type="dxa"/>
            <w:shd w:val="clear"/>
            <w:noWrap/>
            <w:vAlign w:val="center"/>
          </w:tcPr>
          <w:p w14:paraId="0E32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31.45</w:t>
            </w:r>
          </w:p>
        </w:tc>
      </w:tr>
      <w:tr w14:paraId="6E7C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61B28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水费、电费、差旅费</w:t>
            </w:r>
          </w:p>
        </w:tc>
        <w:tc>
          <w:tcPr>
            <w:tcW w:w="1828" w:type="dxa"/>
            <w:shd w:val="clear"/>
            <w:noWrap/>
            <w:vAlign w:val="center"/>
          </w:tcPr>
          <w:p w14:paraId="6933B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w:t>
            </w:r>
          </w:p>
        </w:tc>
        <w:tc>
          <w:tcPr>
            <w:tcW w:w="1668" w:type="dxa"/>
            <w:shd w:val="clear"/>
            <w:noWrap/>
            <w:vAlign w:val="center"/>
          </w:tcPr>
          <w:p w14:paraId="1B0C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13.97</w:t>
            </w:r>
          </w:p>
        </w:tc>
        <w:tc>
          <w:tcPr>
            <w:tcW w:w="1617" w:type="dxa"/>
            <w:shd w:val="clear"/>
            <w:noWrap/>
            <w:vAlign w:val="center"/>
          </w:tcPr>
          <w:p w14:paraId="56795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13.97</w:t>
            </w:r>
          </w:p>
        </w:tc>
      </w:tr>
      <w:tr w14:paraId="66EF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05C26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会议费、培训费</w:t>
            </w:r>
          </w:p>
        </w:tc>
        <w:tc>
          <w:tcPr>
            <w:tcW w:w="1828" w:type="dxa"/>
            <w:shd w:val="clear"/>
            <w:noWrap/>
            <w:vAlign w:val="center"/>
          </w:tcPr>
          <w:p w14:paraId="31150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16.26</w:t>
            </w:r>
          </w:p>
        </w:tc>
        <w:tc>
          <w:tcPr>
            <w:tcW w:w="1668" w:type="dxa"/>
            <w:shd w:val="clear"/>
            <w:noWrap/>
            <w:vAlign w:val="center"/>
          </w:tcPr>
          <w:p w14:paraId="46AAA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128.61</w:t>
            </w:r>
          </w:p>
        </w:tc>
        <w:tc>
          <w:tcPr>
            <w:tcW w:w="1617" w:type="dxa"/>
            <w:shd w:val="clear"/>
            <w:noWrap/>
            <w:vAlign w:val="center"/>
          </w:tcPr>
          <w:p w14:paraId="61016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128.61</w:t>
            </w:r>
          </w:p>
        </w:tc>
      </w:tr>
      <w:tr w14:paraId="38B0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33DF4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政府采购金额</w:t>
            </w:r>
          </w:p>
        </w:tc>
        <w:tc>
          <w:tcPr>
            <w:tcW w:w="1828" w:type="dxa"/>
            <w:shd w:val="clear"/>
            <w:noWrap/>
            <w:vAlign w:val="center"/>
          </w:tcPr>
          <w:p w14:paraId="4888AF13">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7EC77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136.24</w:t>
            </w:r>
          </w:p>
        </w:tc>
        <w:tc>
          <w:tcPr>
            <w:tcW w:w="1617" w:type="dxa"/>
            <w:shd w:val="clear"/>
            <w:noWrap/>
            <w:vAlign w:val="center"/>
          </w:tcPr>
          <w:p w14:paraId="3BA2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136.24</w:t>
            </w:r>
          </w:p>
        </w:tc>
      </w:tr>
      <w:tr w14:paraId="6DC3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5" w:type="dxa"/>
            <w:shd w:val="clear"/>
            <w:noWrap/>
            <w:vAlign w:val="center"/>
          </w:tcPr>
          <w:p w14:paraId="3278E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部门基本支出预算调整 </w:t>
            </w:r>
          </w:p>
        </w:tc>
        <w:tc>
          <w:tcPr>
            <w:tcW w:w="1828" w:type="dxa"/>
            <w:shd w:val="clear"/>
            <w:noWrap/>
            <w:vAlign w:val="center"/>
          </w:tcPr>
          <w:p w14:paraId="2DCBAD84">
            <w:pPr>
              <w:jc w:val="center"/>
              <w:rPr>
                <w:rFonts w:hint="eastAsia" w:ascii="宋体" w:hAnsi="宋体" w:eastAsia="宋体" w:cs="宋体"/>
                <w:i w:val="0"/>
                <w:iCs w:val="0"/>
                <w:color w:val="000000"/>
                <w:sz w:val="22"/>
                <w:szCs w:val="22"/>
                <w:u w:val="none"/>
              </w:rPr>
            </w:pPr>
          </w:p>
        </w:tc>
        <w:tc>
          <w:tcPr>
            <w:tcW w:w="1668" w:type="dxa"/>
            <w:shd w:val="clear"/>
            <w:noWrap/>
            <w:vAlign w:val="center"/>
          </w:tcPr>
          <w:p w14:paraId="2584F430">
            <w:pPr>
              <w:jc w:val="center"/>
              <w:rPr>
                <w:rFonts w:hint="eastAsia" w:ascii="宋体" w:hAnsi="宋体" w:eastAsia="宋体" w:cs="宋体"/>
                <w:i w:val="0"/>
                <w:iCs w:val="0"/>
                <w:color w:val="000000"/>
                <w:sz w:val="22"/>
                <w:szCs w:val="22"/>
                <w:u w:val="none"/>
              </w:rPr>
            </w:pPr>
          </w:p>
        </w:tc>
        <w:tc>
          <w:tcPr>
            <w:tcW w:w="1617" w:type="dxa"/>
            <w:shd w:val="clear"/>
            <w:noWrap/>
            <w:vAlign w:val="center"/>
          </w:tcPr>
          <w:p w14:paraId="790A4613">
            <w:pPr>
              <w:jc w:val="center"/>
              <w:rPr>
                <w:rFonts w:hint="eastAsia" w:ascii="宋体" w:hAnsi="宋体" w:eastAsia="宋体" w:cs="宋体"/>
                <w:i w:val="0"/>
                <w:iCs w:val="0"/>
                <w:color w:val="000000"/>
                <w:sz w:val="22"/>
                <w:szCs w:val="22"/>
                <w:u w:val="none"/>
              </w:rPr>
            </w:pPr>
          </w:p>
        </w:tc>
      </w:tr>
      <w:tr w14:paraId="51E3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05" w:type="dxa"/>
            <w:vMerge w:val="restart"/>
            <w:shd w:val="clear"/>
            <w:vAlign w:val="center"/>
          </w:tcPr>
          <w:p w14:paraId="7ADB00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楼堂馆所控制情况 </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（2023年完工项目）</w:t>
            </w:r>
          </w:p>
        </w:tc>
        <w:tc>
          <w:tcPr>
            <w:tcW w:w="1828" w:type="dxa"/>
            <w:shd w:val="clear"/>
            <w:vAlign w:val="center"/>
          </w:tcPr>
          <w:p w14:paraId="49B69A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批复规模 </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1668" w:type="dxa"/>
            <w:shd w:val="clear"/>
            <w:noWrap/>
            <w:vAlign w:val="center"/>
          </w:tcPr>
          <w:p w14:paraId="0A0E2F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规模控制率</w:t>
            </w:r>
          </w:p>
        </w:tc>
        <w:tc>
          <w:tcPr>
            <w:tcW w:w="1617" w:type="dxa"/>
            <w:shd w:val="clear"/>
            <w:vAlign w:val="center"/>
          </w:tcPr>
          <w:p w14:paraId="4E9320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实际投资</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（万元）</w:t>
            </w:r>
          </w:p>
        </w:tc>
      </w:tr>
      <w:tr w14:paraId="666C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0" w:hRule="atLeast"/>
        </w:trPr>
        <w:tc>
          <w:tcPr>
            <w:tcW w:w="3005" w:type="dxa"/>
            <w:vMerge w:val="continue"/>
            <w:shd w:val="clear"/>
            <w:vAlign w:val="center"/>
          </w:tcPr>
          <w:p w14:paraId="6DD23D7C">
            <w:pPr>
              <w:jc w:val="center"/>
              <w:rPr>
                <w:rFonts w:hint="eastAsia" w:ascii="宋体" w:hAnsi="宋体" w:eastAsia="宋体" w:cs="宋体"/>
                <w:b/>
                <w:bCs/>
                <w:i w:val="0"/>
                <w:iCs w:val="0"/>
                <w:color w:val="000000"/>
                <w:sz w:val="22"/>
                <w:szCs w:val="22"/>
                <w:u w:val="none"/>
              </w:rPr>
            </w:pPr>
          </w:p>
        </w:tc>
        <w:tc>
          <w:tcPr>
            <w:tcW w:w="1828" w:type="dxa"/>
            <w:shd w:val="clear"/>
            <w:noWrap/>
            <w:vAlign w:val="center"/>
          </w:tcPr>
          <w:p w14:paraId="7618D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68" w:type="dxa"/>
            <w:shd w:val="clear"/>
            <w:noWrap/>
            <w:vAlign w:val="center"/>
          </w:tcPr>
          <w:p w14:paraId="07225680">
            <w:pPr>
              <w:jc w:val="center"/>
              <w:rPr>
                <w:rFonts w:hint="eastAsia" w:ascii="宋体" w:hAnsi="宋体" w:eastAsia="宋体" w:cs="宋体"/>
                <w:i w:val="0"/>
                <w:iCs w:val="0"/>
                <w:color w:val="000000"/>
                <w:sz w:val="22"/>
                <w:szCs w:val="22"/>
                <w:u w:val="none"/>
              </w:rPr>
            </w:pPr>
          </w:p>
        </w:tc>
        <w:tc>
          <w:tcPr>
            <w:tcW w:w="1617" w:type="dxa"/>
            <w:shd w:val="clear"/>
            <w:noWrap/>
            <w:vAlign w:val="center"/>
          </w:tcPr>
          <w:p w14:paraId="6F7F1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39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005" w:type="dxa"/>
            <w:shd w:val="clear"/>
            <w:noWrap/>
            <w:vAlign w:val="center"/>
          </w:tcPr>
          <w:p w14:paraId="3A572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厉行节约保障措施</w:t>
            </w:r>
          </w:p>
        </w:tc>
        <w:tc>
          <w:tcPr>
            <w:tcW w:w="5113" w:type="dxa"/>
            <w:gridSpan w:val="3"/>
            <w:shd w:val="clear"/>
            <w:noWrap/>
            <w:vAlign w:val="center"/>
          </w:tcPr>
          <w:p w14:paraId="2F3725B0">
            <w:pPr>
              <w:jc w:val="center"/>
              <w:rPr>
                <w:rFonts w:hint="eastAsia" w:ascii="宋体" w:hAnsi="宋体" w:eastAsia="宋体" w:cs="宋体"/>
                <w:i w:val="0"/>
                <w:iCs w:val="0"/>
                <w:color w:val="000000"/>
                <w:sz w:val="22"/>
                <w:szCs w:val="22"/>
                <w:u w:val="none"/>
              </w:rPr>
            </w:pPr>
          </w:p>
        </w:tc>
      </w:tr>
    </w:tbl>
    <w:p w14:paraId="2356D557">
      <w:pPr>
        <w:pStyle w:val="2"/>
        <w:jc w:val="center"/>
        <w:rPr>
          <w:rFonts w:hint="eastAsia" w:ascii="方正小标宋简体" w:hAnsi="方正小标宋简体" w:eastAsia="方正小标宋简体" w:cs="方正小标宋简体"/>
          <w:kern w:val="2"/>
          <w:sz w:val="32"/>
          <w:szCs w:val="32"/>
          <w:lang w:val="en-US" w:eastAsia="zh-CN" w:bidi="ar-SA"/>
        </w:rPr>
        <w:sectPr>
          <w:footerReference r:id="rId8" w:type="first"/>
          <w:footerReference r:id="rId6" w:type="default"/>
          <w:footerReference r:id="rId7" w:type="even"/>
          <w:pgSz w:w="11906" w:h="16838"/>
          <w:pgMar w:top="1701" w:right="1587" w:bottom="1701" w:left="1701" w:header="851" w:footer="1417" w:gutter="0"/>
          <w:pgNumType w:start="1"/>
          <w:cols w:space="720" w:num="1"/>
          <w:titlePg/>
          <w:docGrid w:type="lines" w:linePitch="312" w:charSpace="0"/>
        </w:sectPr>
      </w:pPr>
    </w:p>
    <w:p w14:paraId="58733504">
      <w:pPr>
        <w:pStyle w:val="2"/>
        <w:jc w:val="center"/>
        <w:rPr>
          <w:rFonts w:hint="eastAsia" w:ascii="方正小标宋简体" w:hAnsi="方正小标宋简体" w:eastAsia="方正小标宋简体" w:cs="方正小标宋简体"/>
          <w:kern w:val="2"/>
          <w:sz w:val="32"/>
          <w:szCs w:val="32"/>
          <w:lang w:val="en-US" w:eastAsia="zh-CN" w:bidi="ar-SA"/>
        </w:rPr>
      </w:pPr>
    </w:p>
    <w:p w14:paraId="4A3F5FE1">
      <w:pPr>
        <w:pStyle w:val="2"/>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自评表</w:t>
      </w:r>
    </w:p>
    <w:tbl>
      <w:tblPr>
        <w:tblW w:w="1422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1"/>
        <w:gridCol w:w="1216"/>
        <w:gridCol w:w="788"/>
        <w:gridCol w:w="1725"/>
        <w:gridCol w:w="875"/>
        <w:gridCol w:w="2216"/>
        <w:gridCol w:w="1034"/>
        <w:gridCol w:w="2350"/>
        <w:gridCol w:w="1175"/>
        <w:gridCol w:w="2325"/>
      </w:tblGrid>
      <w:tr w14:paraId="7B9D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2525" w:type="dxa"/>
            <w:gridSpan w:val="3"/>
            <w:tcBorders>
              <w:top w:val="single" w:color="auto" w:sz="4" w:space="0"/>
              <w:left w:val="single" w:color="auto" w:sz="4" w:space="0"/>
              <w:bottom w:val="single" w:color="auto" w:sz="4" w:space="0"/>
              <w:right w:val="single" w:color="auto" w:sz="4" w:space="0"/>
            </w:tcBorders>
            <w:shd w:val="clear"/>
            <w:noWrap/>
            <w:vAlign w:val="center"/>
          </w:tcPr>
          <w:p w14:paraId="11A78E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预算部门名称</w:t>
            </w:r>
          </w:p>
        </w:tc>
        <w:tc>
          <w:tcPr>
            <w:tcW w:w="11700" w:type="dxa"/>
            <w:gridSpan w:val="7"/>
            <w:tcBorders>
              <w:top w:val="single" w:color="auto" w:sz="4" w:space="0"/>
              <w:left w:val="single" w:color="auto" w:sz="4" w:space="0"/>
              <w:bottom w:val="single" w:color="auto" w:sz="4" w:space="0"/>
              <w:right w:val="single" w:color="auto" w:sz="4" w:space="0"/>
            </w:tcBorders>
            <w:shd w:val="clear"/>
            <w:noWrap/>
            <w:vAlign w:val="center"/>
          </w:tcPr>
          <w:p w14:paraId="65CBE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娄底市工商业联合会</w:t>
            </w:r>
          </w:p>
        </w:tc>
      </w:tr>
      <w:tr w14:paraId="63A3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2525" w:type="dxa"/>
            <w:gridSpan w:val="3"/>
            <w:vMerge w:val="restart"/>
            <w:tcBorders>
              <w:top w:val="single" w:color="auto" w:sz="4" w:space="0"/>
              <w:left w:val="single" w:color="auto" w:sz="4" w:space="0"/>
              <w:bottom w:val="single" w:color="auto" w:sz="4" w:space="0"/>
              <w:right w:val="single" w:color="auto" w:sz="4" w:space="0"/>
            </w:tcBorders>
            <w:shd w:val="clear"/>
            <w:vAlign w:val="center"/>
          </w:tcPr>
          <w:p w14:paraId="56D7FF31">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bdr w:val="none" w:color="auto" w:sz="0" w:space="0"/>
                <w:lang w:val="en-US" w:eastAsia="zh-CN" w:bidi="ar"/>
              </w:rPr>
              <w:t>年度预算申请</w:t>
            </w:r>
            <w:r>
              <w:rPr>
                <w:rFonts w:hint="default" w:ascii="Microsoft YaHei UI" w:hAnsi="Microsoft YaHei UI" w:eastAsia="Microsoft YaHei UI" w:cs="Microsoft YaHei UI"/>
                <w:i w:val="0"/>
                <w:iCs w:val="0"/>
                <w:color w:val="000000"/>
                <w:kern w:val="0"/>
                <w:sz w:val="20"/>
                <w:szCs w:val="20"/>
                <w:u w:val="none"/>
                <w:bdr w:val="none" w:color="auto" w:sz="0" w:space="0"/>
                <w:lang w:val="en-US" w:eastAsia="zh-CN" w:bidi="ar"/>
              </w:rPr>
              <w:br w:type="textWrapping"/>
            </w:r>
            <w:r>
              <w:rPr>
                <w:rFonts w:hint="default" w:ascii="Microsoft YaHei UI" w:hAnsi="Microsoft YaHei UI" w:eastAsia="Microsoft YaHei UI" w:cs="Microsoft YaHei UI"/>
                <w:i w:val="0"/>
                <w:iCs w:val="0"/>
                <w:color w:val="000000"/>
                <w:kern w:val="0"/>
                <w:sz w:val="20"/>
                <w:szCs w:val="20"/>
                <w:u w:val="none"/>
                <w:bdr w:val="none" w:color="auto" w:sz="0" w:space="0"/>
                <w:lang w:val="en-US" w:eastAsia="zh-CN" w:bidi="ar"/>
              </w:rPr>
              <w:t>(万元)</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68804F36">
            <w:pPr>
              <w:jc w:val="center"/>
              <w:rPr>
                <w:rFonts w:hint="eastAsia" w:ascii="宋体" w:hAnsi="宋体" w:eastAsia="宋体" w:cs="宋体"/>
                <w:i w:val="0"/>
                <w:iCs w:val="0"/>
                <w:color w:val="000000"/>
                <w:sz w:val="20"/>
                <w:szCs w:val="20"/>
                <w:u w:val="none"/>
              </w:rPr>
            </w:pPr>
          </w:p>
        </w:tc>
        <w:tc>
          <w:tcPr>
            <w:tcW w:w="875" w:type="dxa"/>
            <w:tcBorders>
              <w:top w:val="single" w:color="auto" w:sz="4" w:space="0"/>
              <w:left w:val="single" w:color="auto" w:sz="4" w:space="0"/>
              <w:bottom w:val="single" w:color="auto" w:sz="4" w:space="0"/>
              <w:right w:val="single" w:color="auto" w:sz="4" w:space="0"/>
            </w:tcBorders>
            <w:shd w:val="clear"/>
            <w:vAlign w:val="center"/>
          </w:tcPr>
          <w:p w14:paraId="4CD2D65A">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年初预算数(万元)</w:t>
            </w:r>
          </w:p>
        </w:tc>
        <w:tc>
          <w:tcPr>
            <w:tcW w:w="2216" w:type="dxa"/>
            <w:tcBorders>
              <w:top w:val="single" w:color="auto" w:sz="4" w:space="0"/>
              <w:left w:val="single" w:color="auto" w:sz="4" w:space="0"/>
              <w:bottom w:val="single" w:color="auto" w:sz="4" w:space="0"/>
              <w:right w:val="single" w:color="auto" w:sz="4" w:space="0"/>
            </w:tcBorders>
            <w:shd w:val="clear"/>
            <w:noWrap/>
            <w:vAlign w:val="center"/>
          </w:tcPr>
          <w:p w14:paraId="018A1F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全年预算数（万元）</w:t>
            </w:r>
          </w:p>
        </w:tc>
        <w:tc>
          <w:tcPr>
            <w:tcW w:w="1034" w:type="dxa"/>
            <w:tcBorders>
              <w:top w:val="single" w:color="auto" w:sz="4" w:space="0"/>
              <w:left w:val="single" w:color="auto" w:sz="4" w:space="0"/>
              <w:bottom w:val="single" w:color="auto" w:sz="4" w:space="0"/>
              <w:right w:val="single" w:color="auto" w:sz="4" w:space="0"/>
            </w:tcBorders>
            <w:shd w:val="clear"/>
            <w:noWrap/>
            <w:vAlign w:val="center"/>
          </w:tcPr>
          <w:p w14:paraId="64775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全年执行数（万元）</w:t>
            </w:r>
          </w:p>
        </w:tc>
        <w:tc>
          <w:tcPr>
            <w:tcW w:w="2350" w:type="dxa"/>
            <w:tcBorders>
              <w:top w:val="single" w:color="auto" w:sz="4" w:space="0"/>
              <w:left w:val="single" w:color="auto" w:sz="4" w:space="0"/>
              <w:bottom w:val="single" w:color="auto" w:sz="4" w:space="0"/>
              <w:right w:val="single" w:color="auto" w:sz="4" w:space="0"/>
            </w:tcBorders>
            <w:shd w:val="clear"/>
            <w:vAlign w:val="center"/>
          </w:tcPr>
          <w:p w14:paraId="1EFE4D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1175" w:type="dxa"/>
            <w:tcBorders>
              <w:top w:val="single" w:color="auto" w:sz="4" w:space="0"/>
              <w:left w:val="single" w:color="auto" w:sz="4" w:space="0"/>
              <w:bottom w:val="single" w:color="auto" w:sz="4" w:space="0"/>
              <w:right w:val="single" w:color="auto" w:sz="4" w:space="0"/>
            </w:tcBorders>
            <w:shd w:val="clear"/>
            <w:vAlign w:val="center"/>
          </w:tcPr>
          <w:p w14:paraId="39EC9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执行率</w:t>
            </w:r>
          </w:p>
        </w:tc>
        <w:tc>
          <w:tcPr>
            <w:tcW w:w="2325" w:type="dxa"/>
            <w:tcBorders>
              <w:top w:val="single" w:color="auto" w:sz="4" w:space="0"/>
              <w:left w:val="single" w:color="auto" w:sz="4" w:space="0"/>
              <w:bottom w:val="single" w:color="auto" w:sz="4" w:space="0"/>
              <w:right w:val="single" w:color="auto" w:sz="4" w:space="0"/>
            </w:tcBorders>
            <w:shd w:val="clear"/>
            <w:vAlign w:val="center"/>
          </w:tcPr>
          <w:p w14:paraId="6FA08E85">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得分</w:t>
            </w:r>
          </w:p>
        </w:tc>
      </w:tr>
      <w:tr w14:paraId="3E6E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8"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16518ED4">
            <w:pPr>
              <w:jc w:val="center"/>
              <w:rPr>
                <w:rFonts w:hint="default" w:ascii="Microsoft YaHei UI" w:hAnsi="Microsoft YaHei UI" w:eastAsia="Microsoft YaHei UI" w:cs="Microsoft YaHei UI"/>
                <w:i w:val="0"/>
                <w:iCs w:val="0"/>
                <w:color w:val="000000"/>
                <w:sz w:val="20"/>
                <w:szCs w:val="20"/>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7A634E25">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年度资金总额：</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7EDA91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333.14</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51CDBD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499.62</w:t>
            </w:r>
          </w:p>
        </w:tc>
        <w:tc>
          <w:tcPr>
            <w:tcW w:w="1034" w:type="dxa"/>
            <w:tcBorders>
              <w:top w:val="single" w:color="auto" w:sz="4" w:space="0"/>
              <w:left w:val="single" w:color="auto" w:sz="4" w:space="0"/>
              <w:bottom w:val="single" w:color="auto" w:sz="4" w:space="0"/>
              <w:right w:val="single" w:color="auto" w:sz="4" w:space="0"/>
            </w:tcBorders>
            <w:shd w:val="clear"/>
            <w:vAlign w:val="center"/>
          </w:tcPr>
          <w:p w14:paraId="11161B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499.62</w:t>
            </w:r>
          </w:p>
        </w:tc>
        <w:tc>
          <w:tcPr>
            <w:tcW w:w="2350" w:type="dxa"/>
            <w:tcBorders>
              <w:top w:val="single" w:color="auto" w:sz="4" w:space="0"/>
              <w:left w:val="single" w:color="auto" w:sz="4" w:space="0"/>
              <w:bottom w:val="single" w:color="auto" w:sz="4" w:space="0"/>
              <w:right w:val="single" w:color="auto" w:sz="4" w:space="0"/>
            </w:tcBorders>
            <w:shd w:val="clear"/>
            <w:vAlign w:val="center"/>
          </w:tcPr>
          <w:p w14:paraId="12D5E3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1175" w:type="dxa"/>
            <w:tcBorders>
              <w:top w:val="single" w:color="auto" w:sz="4" w:space="0"/>
              <w:left w:val="single" w:color="auto" w:sz="4" w:space="0"/>
              <w:bottom w:val="single" w:color="auto" w:sz="4" w:space="0"/>
              <w:right w:val="single" w:color="auto" w:sz="4" w:space="0"/>
            </w:tcBorders>
            <w:shd w:val="clear"/>
            <w:vAlign w:val="center"/>
          </w:tcPr>
          <w:p w14:paraId="00BB7E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100.00%</w:t>
            </w:r>
          </w:p>
        </w:tc>
        <w:tc>
          <w:tcPr>
            <w:tcW w:w="2325" w:type="dxa"/>
            <w:tcBorders>
              <w:top w:val="single" w:color="auto" w:sz="4" w:space="0"/>
              <w:left w:val="single" w:color="auto" w:sz="4" w:space="0"/>
              <w:bottom w:val="single" w:color="auto" w:sz="4" w:space="0"/>
              <w:right w:val="single" w:color="auto" w:sz="4" w:space="0"/>
            </w:tcBorders>
            <w:shd w:val="clear"/>
            <w:vAlign w:val="center"/>
          </w:tcPr>
          <w:p w14:paraId="6A2DB4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10.00</w:t>
            </w:r>
          </w:p>
        </w:tc>
      </w:tr>
      <w:tr w14:paraId="7DA6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7E924817">
            <w:pPr>
              <w:jc w:val="center"/>
              <w:rPr>
                <w:rFonts w:hint="default" w:ascii="Microsoft YaHei UI" w:hAnsi="Microsoft YaHei UI" w:eastAsia="Microsoft YaHei UI" w:cs="Microsoft YaHei UI"/>
                <w:i w:val="0"/>
                <w:iCs w:val="0"/>
                <w:color w:val="000000"/>
                <w:sz w:val="20"/>
                <w:szCs w:val="20"/>
                <w:u w:val="none"/>
              </w:rPr>
            </w:pPr>
          </w:p>
        </w:tc>
        <w:tc>
          <w:tcPr>
            <w:tcW w:w="4816" w:type="dxa"/>
            <w:gridSpan w:val="3"/>
            <w:tcBorders>
              <w:top w:val="single" w:color="auto" w:sz="4" w:space="0"/>
              <w:left w:val="single" w:color="auto" w:sz="4" w:space="0"/>
              <w:bottom w:val="single" w:color="auto" w:sz="4" w:space="0"/>
              <w:right w:val="single" w:color="auto" w:sz="4" w:space="0"/>
            </w:tcBorders>
            <w:shd w:val="clear"/>
            <w:vAlign w:val="center"/>
          </w:tcPr>
          <w:p w14:paraId="0898B337">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按收入性质分：</w:t>
            </w:r>
          </w:p>
        </w:tc>
        <w:tc>
          <w:tcPr>
            <w:tcW w:w="6884" w:type="dxa"/>
            <w:gridSpan w:val="4"/>
            <w:tcBorders>
              <w:top w:val="single" w:color="auto" w:sz="4" w:space="0"/>
              <w:left w:val="single" w:color="auto" w:sz="4" w:space="0"/>
              <w:bottom w:val="single" w:color="auto" w:sz="4" w:space="0"/>
              <w:right w:val="single" w:color="auto" w:sz="4" w:space="0"/>
            </w:tcBorders>
            <w:shd w:val="clear"/>
            <w:vAlign w:val="center"/>
          </w:tcPr>
          <w:p w14:paraId="29DF6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按支出性质分：</w:t>
            </w:r>
          </w:p>
        </w:tc>
      </w:tr>
      <w:tr w14:paraId="57F43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13E71CE0">
            <w:pPr>
              <w:jc w:val="center"/>
              <w:rPr>
                <w:rFonts w:hint="default" w:ascii="Microsoft YaHei UI" w:hAnsi="Microsoft YaHei UI" w:eastAsia="Microsoft YaHei UI" w:cs="Microsoft YaHei UI"/>
                <w:i w:val="0"/>
                <w:iCs w:val="0"/>
                <w:color w:val="000000"/>
                <w:sz w:val="20"/>
                <w:szCs w:val="20"/>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580A9F3A">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一般公共预算：</w:t>
            </w:r>
          </w:p>
        </w:tc>
        <w:tc>
          <w:tcPr>
            <w:tcW w:w="3091" w:type="dxa"/>
            <w:gridSpan w:val="2"/>
            <w:tcBorders>
              <w:top w:val="single" w:color="auto" w:sz="4" w:space="0"/>
              <w:left w:val="single" w:color="auto" w:sz="4" w:space="0"/>
              <w:bottom w:val="single" w:color="auto" w:sz="4" w:space="0"/>
              <w:right w:val="single" w:color="auto" w:sz="4" w:space="0"/>
            </w:tcBorders>
            <w:shd w:val="clear"/>
            <w:vAlign w:val="center"/>
          </w:tcPr>
          <w:p w14:paraId="21DA4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482.24</w:t>
            </w:r>
          </w:p>
        </w:tc>
        <w:tc>
          <w:tcPr>
            <w:tcW w:w="3384"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258AD96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bdr w:val="none" w:color="auto" w:sz="0" w:space="0"/>
                <w:lang w:val="en-US" w:eastAsia="zh-CN" w:bidi="ar"/>
              </w:rPr>
            </w:pPr>
            <w:r>
              <w:rPr>
                <w:rFonts w:hint="eastAsia" w:ascii="宋体" w:hAnsi="宋体" w:eastAsia="宋体" w:cs="宋体"/>
                <w:b/>
                <w:bCs/>
                <w:i w:val="0"/>
                <w:iCs w:val="0"/>
                <w:color w:val="000000"/>
                <w:kern w:val="0"/>
                <w:sz w:val="20"/>
                <w:szCs w:val="20"/>
                <w:u w:val="none"/>
                <w:bdr w:val="none" w:color="auto" w:sz="0" w:space="0"/>
                <w:lang w:val="en-US" w:eastAsia="zh-CN" w:bidi="ar"/>
              </w:rPr>
              <w:t>其中:基本</w:t>
            </w:r>
          </w:p>
          <w:p w14:paraId="0EAB0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支出：</w:t>
            </w:r>
          </w:p>
        </w:tc>
        <w:tc>
          <w:tcPr>
            <w:tcW w:w="3500"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3E8A42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499.62</w:t>
            </w:r>
          </w:p>
        </w:tc>
      </w:tr>
      <w:tr w14:paraId="11CE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5906F023">
            <w:pPr>
              <w:jc w:val="center"/>
              <w:rPr>
                <w:rFonts w:hint="default" w:ascii="Microsoft YaHei UI" w:hAnsi="Microsoft YaHei UI" w:eastAsia="Microsoft YaHei UI" w:cs="Microsoft YaHei UI"/>
                <w:i w:val="0"/>
                <w:iCs w:val="0"/>
                <w:color w:val="000000"/>
                <w:sz w:val="20"/>
                <w:szCs w:val="20"/>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68EE822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政府性基金拨款：</w:t>
            </w:r>
          </w:p>
        </w:tc>
        <w:tc>
          <w:tcPr>
            <w:tcW w:w="3091" w:type="dxa"/>
            <w:gridSpan w:val="2"/>
            <w:tcBorders>
              <w:top w:val="single" w:color="auto" w:sz="4" w:space="0"/>
              <w:left w:val="single" w:color="auto" w:sz="4" w:space="0"/>
              <w:bottom w:val="single" w:color="auto" w:sz="4" w:space="0"/>
              <w:right w:val="single" w:color="auto" w:sz="4" w:space="0"/>
            </w:tcBorders>
            <w:shd w:val="clear"/>
            <w:vAlign w:val="center"/>
          </w:tcPr>
          <w:p w14:paraId="23A219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0.00</w:t>
            </w:r>
          </w:p>
        </w:tc>
        <w:tc>
          <w:tcPr>
            <w:tcW w:w="338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E2996EE">
            <w:pPr>
              <w:jc w:val="center"/>
              <w:rPr>
                <w:rFonts w:hint="eastAsia" w:ascii="宋体" w:hAnsi="宋体" w:eastAsia="宋体" w:cs="宋体"/>
                <w:b/>
                <w:bCs/>
                <w:i w:val="0"/>
                <w:iCs w:val="0"/>
                <w:color w:val="000000"/>
                <w:sz w:val="20"/>
                <w:szCs w:val="20"/>
                <w:u w:val="none"/>
              </w:rPr>
            </w:pPr>
          </w:p>
        </w:tc>
        <w:tc>
          <w:tcPr>
            <w:tcW w:w="350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221C6B1D">
            <w:pPr>
              <w:jc w:val="center"/>
              <w:rPr>
                <w:rFonts w:hint="default" w:ascii="Times New Roman" w:hAnsi="Times New Roman" w:eastAsia="宋体" w:cs="Times New Roman"/>
                <w:i w:val="0"/>
                <w:iCs w:val="0"/>
                <w:color w:val="000000"/>
                <w:sz w:val="20"/>
                <w:szCs w:val="20"/>
                <w:u w:val="none"/>
              </w:rPr>
            </w:pPr>
          </w:p>
        </w:tc>
      </w:tr>
      <w:tr w14:paraId="49D5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4A26F548">
            <w:pPr>
              <w:jc w:val="center"/>
              <w:rPr>
                <w:rFonts w:hint="default" w:ascii="Microsoft YaHei UI" w:hAnsi="Microsoft YaHei UI" w:eastAsia="Microsoft YaHei UI" w:cs="Microsoft YaHei UI"/>
                <w:i w:val="0"/>
                <w:iCs w:val="0"/>
                <w:color w:val="000000"/>
                <w:sz w:val="20"/>
                <w:szCs w:val="20"/>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0AAECED1">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纳入专户管理的非税收入拨款：</w:t>
            </w:r>
          </w:p>
        </w:tc>
        <w:tc>
          <w:tcPr>
            <w:tcW w:w="3091" w:type="dxa"/>
            <w:gridSpan w:val="2"/>
            <w:tcBorders>
              <w:top w:val="single" w:color="auto" w:sz="4" w:space="0"/>
              <w:left w:val="single" w:color="auto" w:sz="4" w:space="0"/>
              <w:bottom w:val="single" w:color="auto" w:sz="4" w:space="0"/>
              <w:right w:val="single" w:color="auto" w:sz="4" w:space="0"/>
            </w:tcBorders>
            <w:shd w:val="clear"/>
            <w:vAlign w:val="center"/>
          </w:tcPr>
          <w:p w14:paraId="059452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0.00</w:t>
            </w:r>
          </w:p>
        </w:tc>
        <w:tc>
          <w:tcPr>
            <w:tcW w:w="3384"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5D87DA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c>
          <w:tcPr>
            <w:tcW w:w="3500"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25D42B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0.00</w:t>
            </w:r>
          </w:p>
        </w:tc>
      </w:tr>
      <w:tr w14:paraId="7840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0AC5FC29">
            <w:pPr>
              <w:jc w:val="center"/>
              <w:rPr>
                <w:rFonts w:hint="default" w:ascii="Microsoft YaHei UI" w:hAnsi="Microsoft YaHei UI" w:eastAsia="Microsoft YaHei UI" w:cs="Microsoft YaHei UI"/>
                <w:i w:val="0"/>
                <w:iCs w:val="0"/>
                <w:color w:val="000000"/>
                <w:sz w:val="20"/>
                <w:szCs w:val="20"/>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512BDD67">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其他资金</w:t>
            </w:r>
          </w:p>
        </w:tc>
        <w:tc>
          <w:tcPr>
            <w:tcW w:w="3091" w:type="dxa"/>
            <w:gridSpan w:val="2"/>
            <w:tcBorders>
              <w:top w:val="single" w:color="auto" w:sz="4" w:space="0"/>
              <w:left w:val="single" w:color="auto" w:sz="4" w:space="0"/>
              <w:bottom w:val="single" w:color="auto" w:sz="4" w:space="0"/>
              <w:right w:val="single" w:color="auto" w:sz="4" w:space="0"/>
            </w:tcBorders>
            <w:shd w:val="clear"/>
            <w:vAlign w:val="center"/>
          </w:tcPr>
          <w:p w14:paraId="2A9D2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17.38</w:t>
            </w:r>
          </w:p>
        </w:tc>
        <w:tc>
          <w:tcPr>
            <w:tcW w:w="338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6480DD71">
            <w:pPr>
              <w:jc w:val="center"/>
              <w:rPr>
                <w:rFonts w:hint="eastAsia" w:ascii="宋体" w:hAnsi="宋体" w:eastAsia="宋体" w:cs="宋体"/>
                <w:b/>
                <w:bCs/>
                <w:i w:val="0"/>
                <w:iCs w:val="0"/>
                <w:color w:val="000000"/>
                <w:sz w:val="20"/>
                <w:szCs w:val="20"/>
                <w:u w:val="none"/>
              </w:rPr>
            </w:pPr>
          </w:p>
        </w:tc>
        <w:tc>
          <w:tcPr>
            <w:tcW w:w="350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1AE9CAFB">
            <w:pPr>
              <w:jc w:val="center"/>
              <w:rPr>
                <w:rFonts w:hint="default" w:ascii="Times New Roman" w:hAnsi="Times New Roman" w:eastAsia="宋体" w:cs="Times New Roman"/>
                <w:i w:val="0"/>
                <w:iCs w:val="0"/>
                <w:color w:val="000000"/>
                <w:sz w:val="20"/>
                <w:szCs w:val="20"/>
                <w:u w:val="none"/>
              </w:rPr>
            </w:pPr>
          </w:p>
        </w:tc>
      </w:tr>
      <w:tr w14:paraId="16A8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5" w:type="dxa"/>
            <w:gridSpan w:val="3"/>
            <w:vMerge w:val="restart"/>
            <w:tcBorders>
              <w:top w:val="single" w:color="auto" w:sz="4" w:space="0"/>
              <w:left w:val="single" w:color="auto" w:sz="4" w:space="0"/>
              <w:bottom w:val="single" w:color="auto" w:sz="4" w:space="0"/>
              <w:right w:val="single" w:color="auto" w:sz="4" w:space="0"/>
            </w:tcBorders>
            <w:shd w:val="clear"/>
            <w:vAlign w:val="center"/>
          </w:tcPr>
          <w:p w14:paraId="184F41F6">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年度总体目标</w:t>
            </w:r>
          </w:p>
        </w:tc>
        <w:tc>
          <w:tcPr>
            <w:tcW w:w="4816" w:type="dxa"/>
            <w:gridSpan w:val="3"/>
            <w:tcBorders>
              <w:top w:val="single" w:color="auto" w:sz="4" w:space="0"/>
              <w:left w:val="single" w:color="auto" w:sz="4" w:space="0"/>
              <w:bottom w:val="single" w:color="auto" w:sz="4" w:space="0"/>
              <w:right w:val="single" w:color="auto" w:sz="4" w:space="0"/>
            </w:tcBorders>
            <w:shd w:val="clear"/>
            <w:vAlign w:val="center"/>
          </w:tcPr>
          <w:p w14:paraId="70941346">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预期目标</w:t>
            </w:r>
          </w:p>
        </w:tc>
        <w:tc>
          <w:tcPr>
            <w:tcW w:w="6884" w:type="dxa"/>
            <w:gridSpan w:val="4"/>
            <w:tcBorders>
              <w:top w:val="single" w:color="auto" w:sz="4" w:space="0"/>
              <w:left w:val="single" w:color="auto" w:sz="4" w:space="0"/>
              <w:bottom w:val="single" w:color="auto" w:sz="4" w:space="0"/>
              <w:right w:val="single" w:color="auto" w:sz="4" w:space="0"/>
            </w:tcBorders>
            <w:shd w:val="clear"/>
            <w:vAlign w:val="center"/>
          </w:tcPr>
          <w:p w14:paraId="786767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实际完成情况</w:t>
            </w:r>
          </w:p>
        </w:tc>
      </w:tr>
      <w:tr w14:paraId="02B1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7" w:hRule="atLeast"/>
        </w:trPr>
        <w:tc>
          <w:tcPr>
            <w:tcW w:w="252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64E1C9F0">
            <w:pPr>
              <w:jc w:val="center"/>
              <w:rPr>
                <w:rFonts w:hint="eastAsia" w:ascii="仿宋_GB2312" w:hAnsi="宋体" w:eastAsia="仿宋_GB2312" w:cs="仿宋_GB2312"/>
                <w:b/>
                <w:bCs/>
                <w:i w:val="0"/>
                <w:iCs w:val="0"/>
                <w:color w:val="000000"/>
                <w:sz w:val="20"/>
                <w:szCs w:val="20"/>
                <w:u w:val="none"/>
              </w:rPr>
            </w:pPr>
          </w:p>
        </w:tc>
        <w:tc>
          <w:tcPr>
            <w:tcW w:w="4816" w:type="dxa"/>
            <w:gridSpan w:val="3"/>
            <w:tcBorders>
              <w:top w:val="single" w:color="auto" w:sz="4" w:space="0"/>
              <w:left w:val="single" w:color="auto" w:sz="4" w:space="0"/>
              <w:bottom w:val="single" w:color="auto" w:sz="4" w:space="0"/>
              <w:right w:val="single" w:color="auto" w:sz="4" w:space="0"/>
            </w:tcBorders>
            <w:shd w:val="clear"/>
            <w:vAlign w:val="center"/>
          </w:tcPr>
          <w:p w14:paraId="7206F1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娄商联络、老工商业者及遗孀补助、调研经费、会议费、商协会党建等</w:t>
            </w:r>
          </w:p>
        </w:tc>
        <w:tc>
          <w:tcPr>
            <w:tcW w:w="6884" w:type="dxa"/>
            <w:gridSpan w:val="4"/>
            <w:tcBorders>
              <w:top w:val="single" w:color="auto" w:sz="4" w:space="0"/>
              <w:left w:val="single" w:color="auto" w:sz="4" w:space="0"/>
              <w:bottom w:val="single" w:color="auto" w:sz="4" w:space="0"/>
              <w:right w:val="single" w:color="auto" w:sz="4" w:space="0"/>
            </w:tcBorders>
            <w:shd w:val="clear"/>
            <w:vAlign w:val="center"/>
          </w:tcPr>
          <w:p w14:paraId="096E1D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一、加强年轻一代民营企业家培养，组织举办了10余期专题培训。至今市直管商协会20家，成立商协会党组织20个，党建已入章程的党组织20家，商协会党员共220名，真正实现了党的组织和党的工作达到100%覆盖。二、成功举办第六届全球娄商大会和第三个娄商日活动。开展了新春“云拜年”活动，近10个异地娄底商会精心制作了拜年短视频，在新娄底APP上刊播。开展“春暖湘商”新春慰问活动。举行2023年“娄”商绘精彩 “底”砺创未来——“迎老乡 回故乡 建家乡”异地娄底商会新春座谈会。今年新增注册“娄商返娄”企业71家，到位资金436.78亿元。根据市级领导分工安排和最新完善的娄商数据库，明确33名市级领导挂点联系174名重点娄商（含本地），联系重点娄商范围主要有中国民企500强、世界500强高管、上市公司、返娄投资项目企业、21家异地娄底商会、13家由娄商担任会长的异地湖南商会等。三、由市工商联牵头组织参与，由市委书记或市长主持，每季度召开1次民营企业家座谈会，每月召开一次高质量发展指挥部会议专题调度营商环境工作，面对面督促解决问题。召开“营商环境直通车”诉求收集联络员聘请会议，建立诉求收集联络员机制，聘请来自26家商协会和25家民营企业的51名企业家作为诉求收集联络员，出台《营商环境直通车诉求收集联络员管理办法》，为切实管好用好发挥好这只队伍提供强有力制度支撑。推进娄底市涉案企业合规第三方监督评估机制管理委员会工作，组织成立第三方评估专家人才库，组织10人次参加省工商联举办的涉案企业合规改革暨第三方监督评估工作培训班，成功办理了8 起企业合规案件。四、成功推荐了三一、蓝思科技、大汉、博长、五江等5家娄商企业入围2022三湘民营企业百强榜前十强。推荐了4家全国“四好”商会，11家全省“四好”商会，有力推动了商协会健康有序发展。深入推进“万企兴万村”活动，引导411家民营企业投资37.9亿元开展“兴村”项目457个，对口帮扶358个村。在2023年度“万企兴万村”行动典型选树创建工作中，娄底市娄星区和娄底市女企业家联合会分别被评为全省“万企兴万村”行动典型县、典型商会。</w:t>
            </w:r>
          </w:p>
        </w:tc>
      </w:tr>
      <w:tr w14:paraId="424C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21" w:type="dxa"/>
            <w:vMerge w:val="restart"/>
            <w:tcBorders>
              <w:top w:val="single" w:color="auto" w:sz="4" w:space="0"/>
              <w:left w:val="single" w:color="auto" w:sz="4" w:space="0"/>
              <w:bottom w:val="single" w:color="auto" w:sz="4" w:space="0"/>
              <w:right w:val="single" w:color="auto" w:sz="4" w:space="0"/>
            </w:tcBorders>
            <w:shd w:val="clear"/>
            <w:vAlign w:val="center"/>
          </w:tcPr>
          <w:p w14:paraId="24516F13">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绩效指标</w:t>
            </w:r>
          </w:p>
        </w:tc>
        <w:tc>
          <w:tcPr>
            <w:tcW w:w="1216" w:type="dxa"/>
            <w:vMerge w:val="restart"/>
            <w:tcBorders>
              <w:top w:val="single" w:color="auto" w:sz="4" w:space="0"/>
              <w:left w:val="single" w:color="auto" w:sz="4" w:space="0"/>
              <w:bottom w:val="single" w:color="auto" w:sz="4" w:space="0"/>
              <w:right w:val="single" w:color="auto" w:sz="4" w:space="0"/>
            </w:tcBorders>
            <w:shd w:val="clear"/>
            <w:vAlign w:val="center"/>
          </w:tcPr>
          <w:p w14:paraId="0C80192B">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一级指标</w:t>
            </w:r>
          </w:p>
        </w:tc>
        <w:tc>
          <w:tcPr>
            <w:tcW w:w="788" w:type="dxa"/>
            <w:vMerge w:val="restart"/>
            <w:tcBorders>
              <w:top w:val="single" w:color="auto" w:sz="4" w:space="0"/>
              <w:left w:val="single" w:color="auto" w:sz="4" w:space="0"/>
              <w:bottom w:val="single" w:color="auto" w:sz="4" w:space="0"/>
              <w:right w:val="single" w:color="auto" w:sz="4" w:space="0"/>
            </w:tcBorders>
            <w:shd w:val="clear"/>
            <w:noWrap/>
            <w:vAlign w:val="center"/>
          </w:tcPr>
          <w:p w14:paraId="346A7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725" w:type="dxa"/>
            <w:vMerge w:val="restart"/>
            <w:tcBorders>
              <w:top w:val="single" w:color="auto" w:sz="4" w:space="0"/>
              <w:left w:val="single" w:color="auto" w:sz="4" w:space="0"/>
              <w:bottom w:val="single" w:color="auto" w:sz="4" w:space="0"/>
              <w:right w:val="single" w:color="auto" w:sz="4" w:space="0"/>
            </w:tcBorders>
            <w:shd w:val="clear"/>
            <w:vAlign w:val="center"/>
          </w:tcPr>
          <w:p w14:paraId="0C95BA71">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三级指标</w:t>
            </w:r>
          </w:p>
        </w:tc>
        <w:tc>
          <w:tcPr>
            <w:tcW w:w="875" w:type="dxa"/>
            <w:vMerge w:val="restart"/>
            <w:tcBorders>
              <w:top w:val="single" w:color="auto" w:sz="4" w:space="0"/>
              <w:left w:val="single" w:color="auto" w:sz="4" w:space="0"/>
              <w:bottom w:val="single" w:color="auto" w:sz="4" w:space="0"/>
              <w:right w:val="single" w:color="auto" w:sz="4" w:space="0"/>
            </w:tcBorders>
            <w:shd w:val="clear"/>
            <w:vAlign w:val="center"/>
          </w:tcPr>
          <w:p w14:paraId="7E52002D">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年度指标值</w:t>
            </w:r>
          </w:p>
        </w:tc>
        <w:tc>
          <w:tcPr>
            <w:tcW w:w="2216" w:type="dxa"/>
            <w:vMerge w:val="restart"/>
            <w:tcBorders>
              <w:top w:val="single" w:color="auto" w:sz="4" w:space="0"/>
              <w:left w:val="single" w:color="auto" w:sz="4" w:space="0"/>
              <w:bottom w:val="single" w:color="auto" w:sz="4" w:space="0"/>
              <w:right w:val="single" w:color="auto" w:sz="4" w:space="0"/>
            </w:tcBorders>
            <w:shd w:val="clear"/>
            <w:vAlign w:val="center"/>
          </w:tcPr>
          <w:p w14:paraId="25B07A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实际完成值</w:t>
            </w:r>
          </w:p>
        </w:tc>
        <w:tc>
          <w:tcPr>
            <w:tcW w:w="6884" w:type="dxa"/>
            <w:gridSpan w:val="4"/>
            <w:vMerge w:val="restart"/>
            <w:tcBorders>
              <w:top w:val="single" w:color="auto" w:sz="4" w:space="0"/>
              <w:left w:val="single" w:color="auto" w:sz="4" w:space="0"/>
              <w:bottom w:val="single" w:color="auto" w:sz="4" w:space="0"/>
              <w:right w:val="single" w:color="auto" w:sz="4" w:space="0"/>
            </w:tcBorders>
            <w:shd w:val="clear"/>
            <w:noWrap/>
            <w:vAlign w:val="center"/>
          </w:tcPr>
          <w:p w14:paraId="5EF18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偏差原因分析及改进措施</w:t>
            </w:r>
          </w:p>
        </w:tc>
      </w:tr>
      <w:tr w14:paraId="7B58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78963452">
            <w:pPr>
              <w:jc w:val="center"/>
              <w:rPr>
                <w:rFonts w:hint="eastAsia" w:ascii="仿宋_GB2312" w:hAnsi="宋体" w:eastAsia="仿宋_GB2312" w:cs="仿宋_GB2312"/>
                <w:b/>
                <w:bCs/>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vAlign w:val="center"/>
          </w:tcPr>
          <w:p w14:paraId="3650B94F">
            <w:pPr>
              <w:jc w:val="center"/>
              <w:rPr>
                <w:rFonts w:hint="eastAsia" w:ascii="仿宋_GB2312" w:hAnsi="宋体" w:eastAsia="仿宋_GB2312" w:cs="仿宋_GB2312"/>
                <w:b/>
                <w:bCs/>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09B77328">
            <w:pPr>
              <w:jc w:val="center"/>
              <w:rPr>
                <w:rFonts w:hint="eastAsia" w:ascii="宋体" w:hAnsi="宋体" w:eastAsia="宋体" w:cs="宋体"/>
                <w:b/>
                <w:bCs/>
                <w:i w:val="0"/>
                <w:iCs w:val="0"/>
                <w:color w:val="000000"/>
                <w:sz w:val="22"/>
                <w:szCs w:val="22"/>
                <w:u w:val="none"/>
              </w:rPr>
            </w:pPr>
          </w:p>
        </w:tc>
        <w:tc>
          <w:tcPr>
            <w:tcW w:w="1725" w:type="dxa"/>
            <w:vMerge w:val="continue"/>
            <w:tcBorders>
              <w:top w:val="single" w:color="auto" w:sz="4" w:space="0"/>
              <w:left w:val="single" w:color="auto" w:sz="4" w:space="0"/>
              <w:bottom w:val="single" w:color="auto" w:sz="4" w:space="0"/>
              <w:right w:val="single" w:color="auto" w:sz="4" w:space="0"/>
            </w:tcBorders>
            <w:shd w:val="clear"/>
            <w:vAlign w:val="center"/>
          </w:tcPr>
          <w:p w14:paraId="6639C4E3">
            <w:pPr>
              <w:jc w:val="center"/>
              <w:rPr>
                <w:rFonts w:hint="eastAsia" w:ascii="仿宋_GB2312" w:hAnsi="宋体" w:eastAsia="仿宋_GB2312" w:cs="仿宋_GB2312"/>
                <w:b/>
                <w:bCs/>
                <w:i w:val="0"/>
                <w:iCs w:val="0"/>
                <w:color w:val="000000"/>
                <w:sz w:val="20"/>
                <w:szCs w:val="20"/>
                <w:u w:val="none"/>
              </w:rPr>
            </w:pPr>
          </w:p>
        </w:tc>
        <w:tc>
          <w:tcPr>
            <w:tcW w:w="875" w:type="dxa"/>
            <w:vMerge w:val="continue"/>
            <w:tcBorders>
              <w:top w:val="single" w:color="auto" w:sz="4" w:space="0"/>
              <w:left w:val="single" w:color="auto" w:sz="4" w:space="0"/>
              <w:bottom w:val="single" w:color="auto" w:sz="4" w:space="0"/>
              <w:right w:val="single" w:color="auto" w:sz="4" w:space="0"/>
            </w:tcBorders>
            <w:shd w:val="clear"/>
            <w:vAlign w:val="center"/>
          </w:tcPr>
          <w:p w14:paraId="6171E66B">
            <w:pPr>
              <w:jc w:val="center"/>
              <w:rPr>
                <w:rFonts w:hint="eastAsia" w:ascii="仿宋_GB2312" w:hAnsi="宋体" w:eastAsia="仿宋_GB2312" w:cs="仿宋_GB2312"/>
                <w:b/>
                <w:bCs/>
                <w:i w:val="0"/>
                <w:iCs w:val="0"/>
                <w:color w:val="000000"/>
                <w:sz w:val="20"/>
                <w:szCs w:val="20"/>
                <w:u w:val="none"/>
              </w:rPr>
            </w:pPr>
          </w:p>
        </w:tc>
        <w:tc>
          <w:tcPr>
            <w:tcW w:w="2216" w:type="dxa"/>
            <w:vMerge w:val="continue"/>
            <w:tcBorders>
              <w:top w:val="single" w:color="auto" w:sz="4" w:space="0"/>
              <w:left w:val="single" w:color="auto" w:sz="4" w:space="0"/>
              <w:bottom w:val="single" w:color="auto" w:sz="4" w:space="0"/>
              <w:right w:val="single" w:color="auto" w:sz="4" w:space="0"/>
            </w:tcBorders>
            <w:shd w:val="clear"/>
            <w:vAlign w:val="center"/>
          </w:tcPr>
          <w:p w14:paraId="13B6301C">
            <w:pPr>
              <w:jc w:val="center"/>
              <w:rPr>
                <w:rFonts w:hint="eastAsia" w:ascii="宋体" w:hAnsi="宋体" w:eastAsia="宋体" w:cs="宋体"/>
                <w:b/>
                <w:bCs/>
                <w:i w:val="0"/>
                <w:iCs w:val="0"/>
                <w:color w:val="000000"/>
                <w:sz w:val="20"/>
                <w:szCs w:val="20"/>
                <w:u w:val="none"/>
              </w:rPr>
            </w:pPr>
          </w:p>
        </w:tc>
        <w:tc>
          <w:tcPr>
            <w:tcW w:w="6884" w:type="dxa"/>
            <w:gridSpan w:val="4"/>
            <w:vMerge w:val="continue"/>
            <w:tcBorders>
              <w:top w:val="single" w:color="auto" w:sz="4" w:space="0"/>
              <w:left w:val="single" w:color="auto" w:sz="4" w:space="0"/>
              <w:bottom w:val="single" w:color="auto" w:sz="4" w:space="0"/>
              <w:right w:val="single" w:color="auto" w:sz="4" w:space="0"/>
            </w:tcBorders>
            <w:shd w:val="clear"/>
            <w:noWrap/>
            <w:vAlign w:val="center"/>
          </w:tcPr>
          <w:p w14:paraId="1D3EE6E0">
            <w:pPr>
              <w:jc w:val="center"/>
              <w:rPr>
                <w:rFonts w:hint="eastAsia" w:ascii="宋体" w:hAnsi="宋体" w:eastAsia="宋体" w:cs="宋体"/>
                <w:b/>
                <w:bCs/>
                <w:i w:val="0"/>
                <w:iCs w:val="0"/>
                <w:color w:val="000000"/>
                <w:sz w:val="22"/>
                <w:szCs w:val="22"/>
                <w:u w:val="none"/>
              </w:rPr>
            </w:pPr>
          </w:p>
        </w:tc>
      </w:tr>
      <w:tr w14:paraId="157D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restart"/>
            <w:tcBorders>
              <w:top w:val="single" w:color="auto" w:sz="4" w:space="0"/>
              <w:left w:val="single" w:color="auto" w:sz="4" w:space="0"/>
              <w:bottom w:val="single" w:color="auto" w:sz="4" w:space="0"/>
              <w:right w:val="single" w:color="auto" w:sz="4" w:space="0"/>
            </w:tcBorders>
            <w:shd w:val="clear"/>
            <w:vAlign w:val="center"/>
          </w:tcPr>
          <w:p w14:paraId="2A8AA55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绩效指标</w:t>
            </w:r>
          </w:p>
        </w:tc>
        <w:tc>
          <w:tcPr>
            <w:tcW w:w="1216" w:type="dxa"/>
            <w:vMerge w:val="restart"/>
            <w:tcBorders>
              <w:top w:val="single" w:color="auto" w:sz="4" w:space="0"/>
              <w:left w:val="single" w:color="auto" w:sz="4" w:space="0"/>
              <w:bottom w:val="single" w:color="auto" w:sz="4" w:space="0"/>
              <w:right w:val="single" w:color="auto" w:sz="4" w:space="0"/>
            </w:tcBorders>
            <w:shd w:val="clear"/>
            <w:noWrap/>
            <w:vAlign w:val="center"/>
          </w:tcPr>
          <w:p w14:paraId="2C0079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产出指标</w:t>
            </w:r>
          </w:p>
        </w:tc>
        <w:tc>
          <w:tcPr>
            <w:tcW w:w="788" w:type="dxa"/>
            <w:vMerge w:val="restart"/>
            <w:tcBorders>
              <w:top w:val="single" w:color="auto" w:sz="4" w:space="0"/>
              <w:left w:val="single" w:color="auto" w:sz="4" w:space="0"/>
              <w:bottom w:val="single" w:color="auto" w:sz="4" w:space="0"/>
              <w:right w:val="single" w:color="auto" w:sz="4" w:space="0"/>
            </w:tcBorders>
            <w:shd w:val="clear"/>
            <w:noWrap/>
            <w:vAlign w:val="center"/>
          </w:tcPr>
          <w:p w14:paraId="2E4E8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34E8833E">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课题调研个数</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27DAD2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7AECF1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调研报告、社情民意12篇</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3C0E4BD1">
            <w:pPr>
              <w:jc w:val="center"/>
              <w:rPr>
                <w:rFonts w:hint="eastAsia" w:ascii="宋体" w:hAnsi="宋体" w:eastAsia="宋体" w:cs="宋体"/>
                <w:i w:val="0"/>
                <w:iCs w:val="0"/>
                <w:color w:val="000000"/>
                <w:sz w:val="22"/>
                <w:szCs w:val="22"/>
                <w:u w:val="none"/>
              </w:rPr>
            </w:pPr>
          </w:p>
        </w:tc>
      </w:tr>
      <w:tr w14:paraId="349D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67784756">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6E3E21B9">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5E3E2127">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5D1DDA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培训会议次数</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0AAA7F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226E85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组织举办了10余期专题培训</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148804D1">
            <w:pPr>
              <w:jc w:val="center"/>
              <w:rPr>
                <w:rFonts w:hint="eastAsia" w:ascii="宋体" w:hAnsi="宋体" w:eastAsia="宋体" w:cs="宋体"/>
                <w:i w:val="0"/>
                <w:iCs w:val="0"/>
                <w:color w:val="000000"/>
                <w:sz w:val="22"/>
                <w:szCs w:val="22"/>
                <w:u w:val="none"/>
              </w:rPr>
            </w:pPr>
          </w:p>
        </w:tc>
      </w:tr>
      <w:tr w14:paraId="0B80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1DA60A2C">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61530CF9">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395E2EA0">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0A3BF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娄商联络次数</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4F967E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6E8D4D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上门走访民营经济界的人才专家和娄商代表人士、娄商亲属共计226人次</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4A643903">
            <w:pPr>
              <w:jc w:val="center"/>
              <w:rPr>
                <w:rFonts w:hint="eastAsia" w:ascii="宋体" w:hAnsi="宋体" w:eastAsia="宋体" w:cs="宋体"/>
                <w:i w:val="0"/>
                <w:iCs w:val="0"/>
                <w:color w:val="000000"/>
                <w:sz w:val="22"/>
                <w:szCs w:val="22"/>
                <w:u w:val="none"/>
              </w:rPr>
            </w:pPr>
          </w:p>
        </w:tc>
      </w:tr>
      <w:tr w14:paraId="0EB0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254E7C2D">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D8030F0">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59DC5566">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55496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党建活动次数</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360852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6FFE0E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市直管商协会20家，成立商协会党组织20个，党建已入章程的党组织20家，商协会党员共220名，真正实现了党的组织和党的工作达到100%覆盖。</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01890DD3">
            <w:pPr>
              <w:jc w:val="center"/>
              <w:rPr>
                <w:rFonts w:hint="eastAsia" w:ascii="宋体" w:hAnsi="宋体" w:eastAsia="宋体" w:cs="宋体"/>
                <w:i w:val="0"/>
                <w:iCs w:val="0"/>
                <w:color w:val="000000"/>
                <w:sz w:val="22"/>
                <w:szCs w:val="22"/>
                <w:u w:val="none"/>
              </w:rPr>
            </w:pPr>
          </w:p>
        </w:tc>
      </w:tr>
      <w:tr w14:paraId="2A79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4CE91E57">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400AEE3C">
            <w:pPr>
              <w:rPr>
                <w:rFonts w:hint="eastAsia" w:ascii="仿宋_GB2312" w:hAnsi="宋体" w:eastAsia="仿宋_GB2312" w:cs="仿宋_GB2312"/>
                <w:i w:val="0"/>
                <w:iCs w:val="0"/>
                <w:color w:val="000000"/>
                <w:sz w:val="20"/>
                <w:szCs w:val="20"/>
                <w:u w:val="none"/>
              </w:rPr>
            </w:pPr>
          </w:p>
        </w:tc>
        <w:tc>
          <w:tcPr>
            <w:tcW w:w="788" w:type="dxa"/>
            <w:vMerge w:val="restart"/>
            <w:tcBorders>
              <w:top w:val="single" w:color="auto" w:sz="4" w:space="0"/>
              <w:left w:val="single" w:color="auto" w:sz="4" w:space="0"/>
              <w:bottom w:val="single" w:color="auto" w:sz="4" w:space="0"/>
              <w:right w:val="single" w:color="auto" w:sz="4" w:space="0"/>
            </w:tcBorders>
            <w:shd w:val="clear"/>
            <w:noWrap/>
            <w:vAlign w:val="center"/>
          </w:tcPr>
          <w:p w14:paraId="50CAF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6ECF9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课题调研合格率</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49D97F4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98</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21C232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100%</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4EEE4753">
            <w:pPr>
              <w:jc w:val="center"/>
              <w:rPr>
                <w:rFonts w:hint="eastAsia" w:ascii="宋体" w:hAnsi="宋体" w:eastAsia="宋体" w:cs="宋体"/>
                <w:i w:val="0"/>
                <w:iCs w:val="0"/>
                <w:color w:val="000000"/>
                <w:sz w:val="22"/>
                <w:szCs w:val="22"/>
                <w:u w:val="none"/>
              </w:rPr>
            </w:pPr>
          </w:p>
        </w:tc>
      </w:tr>
      <w:tr w14:paraId="7714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68EB9E49">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459D3F16">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6E701577">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07AC5D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培训会议合格率</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1F8CBC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98</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4266EE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100%</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15A88B36">
            <w:pPr>
              <w:jc w:val="center"/>
              <w:rPr>
                <w:rFonts w:hint="eastAsia" w:ascii="宋体" w:hAnsi="宋体" w:eastAsia="宋体" w:cs="宋体"/>
                <w:i w:val="0"/>
                <w:iCs w:val="0"/>
                <w:color w:val="000000"/>
                <w:sz w:val="22"/>
                <w:szCs w:val="22"/>
                <w:u w:val="none"/>
              </w:rPr>
            </w:pPr>
            <w:bookmarkStart w:id="0" w:name="_GoBack"/>
            <w:bookmarkEnd w:id="0"/>
          </w:p>
        </w:tc>
      </w:tr>
      <w:tr w14:paraId="7C88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446DDBC1">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E8AA9AD">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1035414">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126DB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娄商联络合格率</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6CDD59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98</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66EEAA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100%</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3DB3BC13">
            <w:pPr>
              <w:jc w:val="center"/>
              <w:rPr>
                <w:rFonts w:hint="eastAsia" w:ascii="宋体" w:hAnsi="宋体" w:eastAsia="宋体" w:cs="宋体"/>
                <w:i w:val="0"/>
                <w:iCs w:val="0"/>
                <w:color w:val="000000"/>
                <w:sz w:val="22"/>
                <w:szCs w:val="22"/>
                <w:u w:val="none"/>
              </w:rPr>
            </w:pPr>
          </w:p>
        </w:tc>
      </w:tr>
      <w:tr w14:paraId="4D6B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1D4E17FE">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C7CCEA7">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3C6F05FD">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5721FF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党建活动合格率</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7D70DD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98</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04FCA0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100%</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695DC3F7">
            <w:pPr>
              <w:jc w:val="center"/>
              <w:rPr>
                <w:rFonts w:hint="eastAsia" w:ascii="宋体" w:hAnsi="宋体" w:eastAsia="宋体" w:cs="宋体"/>
                <w:i w:val="0"/>
                <w:iCs w:val="0"/>
                <w:color w:val="000000"/>
                <w:sz w:val="22"/>
                <w:szCs w:val="22"/>
                <w:u w:val="none"/>
              </w:rPr>
            </w:pPr>
          </w:p>
        </w:tc>
      </w:tr>
      <w:tr w14:paraId="7C85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2BB645F7">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27A1D5E0">
            <w:pPr>
              <w:rPr>
                <w:rFonts w:hint="eastAsia" w:ascii="仿宋_GB2312" w:hAnsi="宋体" w:eastAsia="仿宋_GB2312" w:cs="仿宋_GB2312"/>
                <w:i w:val="0"/>
                <w:iCs w:val="0"/>
                <w:color w:val="000000"/>
                <w:sz w:val="20"/>
                <w:szCs w:val="20"/>
                <w:u w:val="none"/>
              </w:rPr>
            </w:pPr>
          </w:p>
        </w:tc>
        <w:tc>
          <w:tcPr>
            <w:tcW w:w="788" w:type="dxa"/>
            <w:vMerge w:val="restart"/>
            <w:tcBorders>
              <w:top w:val="single" w:color="auto" w:sz="4" w:space="0"/>
              <w:left w:val="single" w:color="auto" w:sz="4" w:space="0"/>
              <w:bottom w:val="single" w:color="auto" w:sz="4" w:space="0"/>
              <w:right w:val="single" w:color="auto" w:sz="4" w:space="0"/>
            </w:tcBorders>
            <w:shd w:val="clear"/>
            <w:noWrap/>
            <w:vAlign w:val="center"/>
          </w:tcPr>
          <w:p w14:paraId="3BE72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6DBAE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课题调研、培训会议、娄商联络、党建完成及时率</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3A3BF5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98</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42C30E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100%</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1E09B7AF">
            <w:pPr>
              <w:jc w:val="center"/>
              <w:rPr>
                <w:rFonts w:hint="eastAsia" w:ascii="宋体" w:hAnsi="宋体" w:eastAsia="宋体" w:cs="宋体"/>
                <w:i w:val="0"/>
                <w:iCs w:val="0"/>
                <w:color w:val="000000"/>
                <w:sz w:val="22"/>
                <w:szCs w:val="22"/>
                <w:u w:val="none"/>
              </w:rPr>
            </w:pPr>
          </w:p>
        </w:tc>
      </w:tr>
      <w:tr w14:paraId="2892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33487E4B">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396C6074">
            <w:pPr>
              <w:rPr>
                <w:rFonts w:hint="eastAsia" w:ascii="仿宋_GB2312" w:hAnsi="宋体" w:eastAsia="仿宋_GB2312" w:cs="仿宋_GB2312"/>
                <w:i w:val="0"/>
                <w:iCs w:val="0"/>
                <w:color w:val="000000"/>
                <w:sz w:val="20"/>
                <w:szCs w:val="20"/>
                <w:u w:val="none"/>
              </w:rPr>
            </w:pPr>
          </w:p>
        </w:tc>
        <w:tc>
          <w:tcPr>
            <w:tcW w:w="788" w:type="dxa"/>
            <w:vMerge w:val="continue"/>
            <w:tcBorders>
              <w:top w:val="single" w:color="auto" w:sz="4" w:space="0"/>
              <w:left w:val="single" w:color="auto" w:sz="4" w:space="0"/>
              <w:bottom w:val="single" w:color="auto" w:sz="4" w:space="0"/>
              <w:right w:val="single" w:color="auto" w:sz="4" w:space="0"/>
            </w:tcBorders>
            <w:shd w:val="clear"/>
            <w:noWrap/>
            <w:vAlign w:val="center"/>
          </w:tcPr>
          <w:p w14:paraId="39BE94B9">
            <w:pPr>
              <w:rPr>
                <w:rFonts w:hint="eastAsia" w:ascii="宋体" w:hAnsi="宋体" w:eastAsia="宋体" w:cs="宋体"/>
                <w:i w:val="0"/>
                <w:iCs w:val="0"/>
                <w:color w:val="000000"/>
                <w:sz w:val="22"/>
                <w:szCs w:val="22"/>
                <w:u w:val="none"/>
              </w:rPr>
            </w:pP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7E22D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课题调研、培训会议、娄商联络、党建完成时间</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64F9236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261</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43476A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按时完成</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06983272">
            <w:pPr>
              <w:jc w:val="center"/>
              <w:rPr>
                <w:rFonts w:hint="eastAsia" w:ascii="宋体" w:hAnsi="宋体" w:eastAsia="宋体" w:cs="宋体"/>
                <w:i w:val="0"/>
                <w:iCs w:val="0"/>
                <w:color w:val="000000"/>
                <w:sz w:val="22"/>
                <w:szCs w:val="22"/>
                <w:u w:val="none"/>
              </w:rPr>
            </w:pPr>
          </w:p>
        </w:tc>
      </w:tr>
      <w:tr w14:paraId="69B4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3C682B85">
            <w:pPr>
              <w:rPr>
                <w:rFonts w:hint="eastAsia" w:ascii="仿宋_GB2312" w:hAnsi="宋体" w:eastAsia="仿宋_GB2312" w:cs="仿宋_GB2312"/>
                <w:i w:val="0"/>
                <w:iCs w:val="0"/>
                <w:color w:val="000000"/>
                <w:sz w:val="20"/>
                <w:szCs w:val="20"/>
                <w:u w:val="none"/>
              </w:rPr>
            </w:pPr>
          </w:p>
        </w:tc>
        <w:tc>
          <w:tcPr>
            <w:tcW w:w="1216" w:type="dxa"/>
            <w:vMerge w:val="restart"/>
            <w:tcBorders>
              <w:top w:val="single" w:color="auto" w:sz="4" w:space="0"/>
              <w:left w:val="single" w:color="auto" w:sz="4" w:space="0"/>
              <w:bottom w:val="single" w:color="auto" w:sz="4" w:space="0"/>
              <w:right w:val="single" w:color="auto" w:sz="4" w:space="0"/>
            </w:tcBorders>
            <w:shd w:val="clear"/>
            <w:noWrap/>
            <w:vAlign w:val="center"/>
          </w:tcPr>
          <w:p w14:paraId="16716C9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效益指标</w:t>
            </w: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72CAB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2EC0974B">
            <w:pPr>
              <w:jc w:val="center"/>
              <w:rPr>
                <w:rFonts w:hint="eastAsia" w:ascii="仿宋" w:hAnsi="仿宋" w:eastAsia="仿宋" w:cs="仿宋"/>
                <w:i w:val="0"/>
                <w:iCs w:val="0"/>
                <w:color w:val="000000"/>
                <w:sz w:val="20"/>
                <w:szCs w:val="20"/>
                <w:u w:val="none"/>
              </w:rPr>
            </w:pPr>
          </w:p>
        </w:tc>
        <w:tc>
          <w:tcPr>
            <w:tcW w:w="875" w:type="dxa"/>
            <w:tcBorders>
              <w:top w:val="single" w:color="auto" w:sz="4" w:space="0"/>
              <w:left w:val="single" w:color="auto" w:sz="4" w:space="0"/>
              <w:bottom w:val="single" w:color="auto" w:sz="4" w:space="0"/>
              <w:right w:val="single" w:color="auto" w:sz="4" w:space="0"/>
            </w:tcBorders>
            <w:shd w:val="clear"/>
            <w:vAlign w:val="center"/>
          </w:tcPr>
          <w:p w14:paraId="30BD6D4A">
            <w:pPr>
              <w:jc w:val="center"/>
              <w:rPr>
                <w:rFonts w:hint="eastAsia" w:ascii="仿宋_GB2312" w:hAnsi="宋体" w:eastAsia="仿宋_GB2312" w:cs="仿宋_GB2312"/>
                <w:i w:val="0"/>
                <w:iCs w:val="0"/>
                <w:color w:val="000000"/>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04C7CADC">
            <w:pPr>
              <w:jc w:val="center"/>
              <w:rPr>
                <w:rFonts w:hint="eastAsia" w:ascii="仿宋_GB2312" w:hAnsi="宋体" w:eastAsia="仿宋_GB2312" w:cs="仿宋_GB2312"/>
                <w:i w:val="0"/>
                <w:iCs w:val="0"/>
                <w:color w:val="000000"/>
                <w:sz w:val="20"/>
                <w:szCs w:val="20"/>
                <w:u w:val="none"/>
              </w:rPr>
            </w:pP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363E8683">
            <w:pPr>
              <w:jc w:val="center"/>
              <w:rPr>
                <w:rFonts w:hint="eastAsia" w:ascii="宋体" w:hAnsi="宋体" w:eastAsia="宋体" w:cs="宋体"/>
                <w:i w:val="0"/>
                <w:iCs w:val="0"/>
                <w:color w:val="000000"/>
                <w:sz w:val="22"/>
                <w:szCs w:val="22"/>
                <w:u w:val="none"/>
              </w:rPr>
            </w:pPr>
          </w:p>
        </w:tc>
      </w:tr>
      <w:tr w14:paraId="575A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164C8787">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13CF9752">
            <w:pPr>
              <w:rPr>
                <w:rFonts w:hint="eastAsia" w:ascii="仿宋_GB2312" w:hAnsi="宋体" w:eastAsia="仿宋_GB2312" w:cs="仿宋_GB2312"/>
                <w:i w:val="0"/>
                <w:iCs w:val="0"/>
                <w:color w:val="000000"/>
                <w:sz w:val="20"/>
                <w:szCs w:val="20"/>
                <w:u w:val="none"/>
              </w:rPr>
            </w:pP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5AA5F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2068F8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保障课题调研、培训会议、娄商联络、党建正常运转</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4BC77E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有效保障</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2FAD85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社会效益明显</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3C077C1F">
            <w:pPr>
              <w:jc w:val="center"/>
              <w:rPr>
                <w:rFonts w:hint="eastAsia" w:ascii="宋体" w:hAnsi="宋体" w:eastAsia="宋体" w:cs="宋体"/>
                <w:i w:val="0"/>
                <w:iCs w:val="0"/>
                <w:color w:val="000000"/>
                <w:sz w:val="22"/>
                <w:szCs w:val="22"/>
                <w:u w:val="none"/>
              </w:rPr>
            </w:pPr>
          </w:p>
        </w:tc>
      </w:tr>
      <w:tr w14:paraId="61E7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5EE1F395">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08C6E976">
            <w:pPr>
              <w:rPr>
                <w:rFonts w:hint="eastAsia" w:ascii="仿宋_GB2312" w:hAnsi="宋体" w:eastAsia="仿宋_GB2312" w:cs="仿宋_GB2312"/>
                <w:i w:val="0"/>
                <w:iCs w:val="0"/>
                <w:color w:val="000000"/>
                <w:sz w:val="20"/>
                <w:szCs w:val="20"/>
                <w:u w:val="none"/>
              </w:rPr>
            </w:pP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5DB64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2CF0B54D">
            <w:pPr>
              <w:jc w:val="center"/>
              <w:rPr>
                <w:rFonts w:hint="eastAsia" w:ascii="仿宋" w:hAnsi="仿宋" w:eastAsia="仿宋" w:cs="仿宋"/>
                <w:i w:val="0"/>
                <w:iCs w:val="0"/>
                <w:color w:val="000000"/>
                <w:sz w:val="20"/>
                <w:szCs w:val="20"/>
                <w:u w:val="none"/>
              </w:rPr>
            </w:pPr>
          </w:p>
        </w:tc>
        <w:tc>
          <w:tcPr>
            <w:tcW w:w="875" w:type="dxa"/>
            <w:tcBorders>
              <w:top w:val="single" w:color="auto" w:sz="4" w:space="0"/>
              <w:left w:val="single" w:color="auto" w:sz="4" w:space="0"/>
              <w:bottom w:val="single" w:color="auto" w:sz="4" w:space="0"/>
              <w:right w:val="single" w:color="auto" w:sz="4" w:space="0"/>
            </w:tcBorders>
            <w:shd w:val="clear"/>
            <w:vAlign w:val="center"/>
          </w:tcPr>
          <w:p w14:paraId="3EB148F0">
            <w:pPr>
              <w:jc w:val="center"/>
              <w:rPr>
                <w:rFonts w:hint="eastAsia" w:ascii="仿宋_GB2312" w:hAnsi="宋体" w:eastAsia="仿宋_GB2312" w:cs="仿宋_GB2312"/>
                <w:i w:val="0"/>
                <w:iCs w:val="0"/>
                <w:color w:val="000000"/>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267929DA">
            <w:pPr>
              <w:jc w:val="center"/>
              <w:rPr>
                <w:rFonts w:hint="eastAsia" w:ascii="仿宋_GB2312" w:hAnsi="宋体" w:eastAsia="仿宋_GB2312" w:cs="仿宋_GB2312"/>
                <w:i w:val="0"/>
                <w:iCs w:val="0"/>
                <w:color w:val="000000"/>
                <w:sz w:val="20"/>
                <w:szCs w:val="20"/>
                <w:u w:val="none"/>
              </w:rPr>
            </w:pP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1ED4B804">
            <w:pPr>
              <w:jc w:val="center"/>
              <w:rPr>
                <w:rFonts w:hint="eastAsia" w:ascii="宋体" w:hAnsi="宋体" w:eastAsia="宋体" w:cs="宋体"/>
                <w:i w:val="0"/>
                <w:iCs w:val="0"/>
                <w:color w:val="000000"/>
                <w:sz w:val="22"/>
                <w:szCs w:val="22"/>
                <w:u w:val="none"/>
              </w:rPr>
            </w:pPr>
          </w:p>
        </w:tc>
      </w:tr>
      <w:tr w14:paraId="5FC9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2792D5E8">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06894D34">
            <w:pPr>
              <w:rPr>
                <w:rFonts w:hint="eastAsia" w:ascii="仿宋_GB2312" w:hAnsi="宋体" w:eastAsia="仿宋_GB2312" w:cs="仿宋_GB2312"/>
                <w:i w:val="0"/>
                <w:iCs w:val="0"/>
                <w:color w:val="000000"/>
                <w:sz w:val="20"/>
                <w:szCs w:val="20"/>
                <w:u w:val="none"/>
              </w:rPr>
            </w:pP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3BE3B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1C6EEB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推动工商联事业持续发展</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438C09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持续推动</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19B804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推动工商联事业持续发展</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58307FC0">
            <w:pPr>
              <w:jc w:val="center"/>
              <w:rPr>
                <w:rFonts w:hint="eastAsia" w:ascii="宋体" w:hAnsi="宋体" w:eastAsia="宋体" w:cs="宋体"/>
                <w:i w:val="0"/>
                <w:iCs w:val="0"/>
                <w:color w:val="000000"/>
                <w:sz w:val="22"/>
                <w:szCs w:val="22"/>
                <w:u w:val="none"/>
              </w:rPr>
            </w:pPr>
          </w:p>
        </w:tc>
      </w:tr>
      <w:tr w14:paraId="5E90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2E011463">
            <w:pPr>
              <w:rPr>
                <w:rFonts w:hint="eastAsia" w:ascii="仿宋_GB2312" w:hAnsi="宋体" w:eastAsia="仿宋_GB2312" w:cs="仿宋_GB2312"/>
                <w:i w:val="0"/>
                <w:iCs w:val="0"/>
                <w:color w:val="000000"/>
                <w:sz w:val="20"/>
                <w:szCs w:val="20"/>
                <w:u w:val="none"/>
              </w:rPr>
            </w:pPr>
          </w:p>
        </w:tc>
        <w:tc>
          <w:tcPr>
            <w:tcW w:w="1216" w:type="dxa"/>
            <w:tcBorders>
              <w:top w:val="single" w:color="auto" w:sz="4" w:space="0"/>
              <w:left w:val="single" w:color="auto" w:sz="4" w:space="0"/>
              <w:bottom w:val="single" w:color="auto" w:sz="4" w:space="0"/>
              <w:right w:val="single" w:color="auto" w:sz="4" w:space="0"/>
            </w:tcBorders>
            <w:shd w:val="clear"/>
            <w:noWrap/>
            <w:vAlign w:val="center"/>
          </w:tcPr>
          <w:p w14:paraId="595EDB0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满意度指标</w:t>
            </w: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34564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4C9683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市委政府、服务的非公经济人士</w:t>
            </w:r>
          </w:p>
        </w:tc>
        <w:tc>
          <w:tcPr>
            <w:tcW w:w="875" w:type="dxa"/>
            <w:tcBorders>
              <w:top w:val="single" w:color="auto" w:sz="4" w:space="0"/>
              <w:left w:val="single" w:color="auto" w:sz="4" w:space="0"/>
              <w:bottom w:val="single" w:color="auto" w:sz="4" w:space="0"/>
              <w:right w:val="single" w:color="auto" w:sz="4" w:space="0"/>
            </w:tcBorders>
            <w:shd w:val="clear"/>
            <w:vAlign w:val="center"/>
          </w:tcPr>
          <w:p w14:paraId="7D9E49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98</w:t>
            </w: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5494C2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满意度100%</w:t>
            </w: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63FCD1CD">
            <w:pPr>
              <w:jc w:val="center"/>
              <w:rPr>
                <w:rFonts w:hint="eastAsia" w:ascii="宋体" w:hAnsi="宋体" w:eastAsia="宋体" w:cs="宋体"/>
                <w:i w:val="0"/>
                <w:iCs w:val="0"/>
                <w:color w:val="000000"/>
                <w:sz w:val="22"/>
                <w:szCs w:val="22"/>
                <w:u w:val="none"/>
              </w:rPr>
            </w:pPr>
          </w:p>
        </w:tc>
      </w:tr>
      <w:tr w14:paraId="3B4B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155064CA">
            <w:pPr>
              <w:rPr>
                <w:rFonts w:hint="eastAsia" w:ascii="仿宋_GB2312" w:hAnsi="宋体" w:eastAsia="仿宋_GB2312" w:cs="仿宋_GB2312"/>
                <w:i w:val="0"/>
                <w:iCs w:val="0"/>
                <w:color w:val="000000"/>
                <w:sz w:val="20"/>
                <w:szCs w:val="20"/>
                <w:u w:val="none"/>
              </w:rPr>
            </w:pPr>
          </w:p>
        </w:tc>
        <w:tc>
          <w:tcPr>
            <w:tcW w:w="1216" w:type="dxa"/>
            <w:vMerge w:val="restart"/>
            <w:tcBorders>
              <w:top w:val="single" w:color="auto" w:sz="4" w:space="0"/>
              <w:left w:val="single" w:color="auto" w:sz="4" w:space="0"/>
              <w:bottom w:val="single" w:color="auto" w:sz="4" w:space="0"/>
              <w:right w:val="single" w:color="auto" w:sz="4" w:space="0"/>
            </w:tcBorders>
            <w:shd w:val="clear"/>
            <w:noWrap/>
            <w:vAlign w:val="center"/>
          </w:tcPr>
          <w:p w14:paraId="31DCD8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成本指标</w:t>
            </w: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1ADB4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6080C0AD">
            <w:pPr>
              <w:jc w:val="center"/>
              <w:rPr>
                <w:rFonts w:hint="eastAsia" w:ascii="仿宋" w:hAnsi="仿宋" w:eastAsia="仿宋" w:cs="仿宋"/>
                <w:i w:val="0"/>
                <w:iCs w:val="0"/>
                <w:color w:val="000000"/>
                <w:sz w:val="20"/>
                <w:szCs w:val="20"/>
                <w:u w:val="none"/>
              </w:rPr>
            </w:pPr>
          </w:p>
        </w:tc>
        <w:tc>
          <w:tcPr>
            <w:tcW w:w="875" w:type="dxa"/>
            <w:tcBorders>
              <w:top w:val="single" w:color="auto" w:sz="4" w:space="0"/>
              <w:left w:val="single" w:color="auto" w:sz="4" w:space="0"/>
              <w:bottom w:val="single" w:color="auto" w:sz="4" w:space="0"/>
              <w:right w:val="single" w:color="auto" w:sz="4" w:space="0"/>
            </w:tcBorders>
            <w:shd w:val="clear"/>
            <w:vAlign w:val="center"/>
          </w:tcPr>
          <w:p w14:paraId="056137D6">
            <w:pPr>
              <w:jc w:val="center"/>
              <w:rPr>
                <w:rFonts w:hint="eastAsia" w:ascii="仿宋_GB2312" w:hAnsi="宋体" w:eastAsia="仿宋_GB2312" w:cs="仿宋_GB2312"/>
                <w:i w:val="0"/>
                <w:iCs w:val="0"/>
                <w:color w:val="000000"/>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6EAEEAF3">
            <w:pPr>
              <w:jc w:val="center"/>
              <w:rPr>
                <w:rFonts w:hint="eastAsia" w:ascii="仿宋_GB2312" w:hAnsi="宋体" w:eastAsia="仿宋_GB2312" w:cs="仿宋_GB2312"/>
                <w:i w:val="0"/>
                <w:iCs w:val="0"/>
                <w:color w:val="000000"/>
                <w:sz w:val="20"/>
                <w:szCs w:val="20"/>
                <w:u w:val="none"/>
              </w:rPr>
            </w:pP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54C236C5">
            <w:pPr>
              <w:jc w:val="center"/>
              <w:rPr>
                <w:rFonts w:hint="eastAsia" w:ascii="宋体" w:hAnsi="宋体" w:eastAsia="宋体" w:cs="宋体"/>
                <w:i w:val="0"/>
                <w:iCs w:val="0"/>
                <w:color w:val="000000"/>
                <w:sz w:val="22"/>
                <w:szCs w:val="22"/>
                <w:u w:val="none"/>
              </w:rPr>
            </w:pPr>
          </w:p>
        </w:tc>
      </w:tr>
      <w:tr w14:paraId="3AE9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548CECE6">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62512D70">
            <w:pPr>
              <w:rPr>
                <w:rFonts w:hint="eastAsia" w:ascii="仿宋_GB2312" w:hAnsi="宋体" w:eastAsia="仿宋_GB2312" w:cs="仿宋_GB2312"/>
                <w:i w:val="0"/>
                <w:iCs w:val="0"/>
                <w:color w:val="000000"/>
                <w:sz w:val="20"/>
                <w:szCs w:val="20"/>
                <w:u w:val="none"/>
              </w:rPr>
            </w:pP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1D9C9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04ED1BA5">
            <w:pPr>
              <w:jc w:val="center"/>
              <w:rPr>
                <w:rFonts w:hint="eastAsia" w:ascii="仿宋" w:hAnsi="仿宋" w:eastAsia="仿宋" w:cs="仿宋"/>
                <w:i w:val="0"/>
                <w:iCs w:val="0"/>
                <w:color w:val="000000"/>
                <w:sz w:val="20"/>
                <w:szCs w:val="20"/>
                <w:u w:val="none"/>
              </w:rPr>
            </w:pPr>
          </w:p>
        </w:tc>
        <w:tc>
          <w:tcPr>
            <w:tcW w:w="875" w:type="dxa"/>
            <w:tcBorders>
              <w:top w:val="single" w:color="auto" w:sz="4" w:space="0"/>
              <w:left w:val="single" w:color="auto" w:sz="4" w:space="0"/>
              <w:bottom w:val="single" w:color="auto" w:sz="4" w:space="0"/>
              <w:right w:val="single" w:color="auto" w:sz="4" w:space="0"/>
            </w:tcBorders>
            <w:shd w:val="clear"/>
            <w:vAlign w:val="center"/>
          </w:tcPr>
          <w:p w14:paraId="24A8C9B6">
            <w:pPr>
              <w:jc w:val="center"/>
              <w:rPr>
                <w:rFonts w:hint="eastAsia" w:ascii="仿宋_GB2312" w:hAnsi="宋体" w:eastAsia="仿宋_GB2312" w:cs="仿宋_GB2312"/>
                <w:i w:val="0"/>
                <w:iCs w:val="0"/>
                <w:color w:val="000000"/>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0FB24A7F">
            <w:pPr>
              <w:jc w:val="center"/>
              <w:rPr>
                <w:rFonts w:hint="eastAsia" w:ascii="仿宋_GB2312" w:hAnsi="宋体" w:eastAsia="仿宋_GB2312" w:cs="仿宋_GB2312"/>
                <w:i w:val="0"/>
                <w:iCs w:val="0"/>
                <w:color w:val="000000"/>
                <w:sz w:val="20"/>
                <w:szCs w:val="20"/>
                <w:u w:val="none"/>
              </w:rPr>
            </w:pP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234844A0">
            <w:pPr>
              <w:jc w:val="center"/>
              <w:rPr>
                <w:rFonts w:hint="eastAsia" w:ascii="宋体" w:hAnsi="宋体" w:eastAsia="宋体" w:cs="宋体"/>
                <w:i w:val="0"/>
                <w:iCs w:val="0"/>
                <w:color w:val="000000"/>
                <w:sz w:val="22"/>
                <w:szCs w:val="22"/>
                <w:u w:val="none"/>
              </w:rPr>
            </w:pPr>
          </w:p>
        </w:tc>
      </w:tr>
      <w:tr w14:paraId="4C28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1" w:type="dxa"/>
            <w:vMerge w:val="continue"/>
            <w:tcBorders>
              <w:top w:val="single" w:color="auto" w:sz="4" w:space="0"/>
              <w:left w:val="single" w:color="auto" w:sz="4" w:space="0"/>
              <w:bottom w:val="single" w:color="auto" w:sz="4" w:space="0"/>
              <w:right w:val="single" w:color="auto" w:sz="4" w:space="0"/>
            </w:tcBorders>
            <w:shd w:val="clear"/>
            <w:vAlign w:val="center"/>
          </w:tcPr>
          <w:p w14:paraId="5ECA707B">
            <w:pPr>
              <w:rPr>
                <w:rFonts w:hint="eastAsia" w:ascii="仿宋_GB2312" w:hAnsi="宋体" w:eastAsia="仿宋_GB2312" w:cs="仿宋_GB2312"/>
                <w:i w:val="0"/>
                <w:iCs w:val="0"/>
                <w:color w:val="000000"/>
                <w:sz w:val="20"/>
                <w:szCs w:val="20"/>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4743E973">
            <w:pPr>
              <w:rPr>
                <w:rFonts w:hint="eastAsia" w:ascii="仿宋_GB2312" w:hAnsi="宋体" w:eastAsia="仿宋_GB2312" w:cs="仿宋_GB2312"/>
                <w:i w:val="0"/>
                <w:iCs w:val="0"/>
                <w:color w:val="000000"/>
                <w:sz w:val="20"/>
                <w:szCs w:val="20"/>
                <w:u w:val="none"/>
              </w:rPr>
            </w:pPr>
          </w:p>
        </w:tc>
        <w:tc>
          <w:tcPr>
            <w:tcW w:w="788" w:type="dxa"/>
            <w:tcBorders>
              <w:top w:val="single" w:color="auto" w:sz="4" w:space="0"/>
              <w:left w:val="single" w:color="auto" w:sz="4" w:space="0"/>
              <w:bottom w:val="single" w:color="auto" w:sz="4" w:space="0"/>
              <w:right w:val="single" w:color="auto" w:sz="4" w:space="0"/>
            </w:tcBorders>
            <w:shd w:val="clear"/>
            <w:noWrap/>
            <w:vAlign w:val="center"/>
          </w:tcPr>
          <w:p w14:paraId="7CFD7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1725" w:type="dxa"/>
            <w:tcBorders>
              <w:top w:val="single" w:color="auto" w:sz="4" w:space="0"/>
              <w:left w:val="single" w:color="auto" w:sz="4" w:space="0"/>
              <w:bottom w:val="single" w:color="auto" w:sz="4" w:space="0"/>
              <w:right w:val="single" w:color="auto" w:sz="4" w:space="0"/>
            </w:tcBorders>
            <w:shd w:val="clear"/>
            <w:vAlign w:val="center"/>
          </w:tcPr>
          <w:p w14:paraId="7DF63AAA">
            <w:pPr>
              <w:jc w:val="center"/>
              <w:rPr>
                <w:rFonts w:hint="eastAsia" w:ascii="仿宋" w:hAnsi="仿宋" w:eastAsia="仿宋" w:cs="仿宋"/>
                <w:i w:val="0"/>
                <w:iCs w:val="0"/>
                <w:color w:val="000000"/>
                <w:sz w:val="20"/>
                <w:szCs w:val="20"/>
                <w:u w:val="none"/>
              </w:rPr>
            </w:pPr>
          </w:p>
        </w:tc>
        <w:tc>
          <w:tcPr>
            <w:tcW w:w="875" w:type="dxa"/>
            <w:tcBorders>
              <w:top w:val="single" w:color="auto" w:sz="4" w:space="0"/>
              <w:left w:val="single" w:color="auto" w:sz="4" w:space="0"/>
              <w:bottom w:val="single" w:color="auto" w:sz="4" w:space="0"/>
              <w:right w:val="single" w:color="auto" w:sz="4" w:space="0"/>
            </w:tcBorders>
            <w:shd w:val="clear"/>
            <w:vAlign w:val="center"/>
          </w:tcPr>
          <w:p w14:paraId="68EA0398">
            <w:pPr>
              <w:jc w:val="center"/>
              <w:rPr>
                <w:rFonts w:hint="eastAsia" w:ascii="仿宋_GB2312" w:hAnsi="宋体" w:eastAsia="仿宋_GB2312" w:cs="仿宋_GB2312"/>
                <w:i w:val="0"/>
                <w:iCs w:val="0"/>
                <w:color w:val="000000"/>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vAlign w:val="center"/>
          </w:tcPr>
          <w:p w14:paraId="7A981DDB">
            <w:pPr>
              <w:jc w:val="center"/>
              <w:rPr>
                <w:rFonts w:hint="eastAsia" w:ascii="仿宋_GB2312" w:hAnsi="宋体" w:eastAsia="仿宋_GB2312" w:cs="仿宋_GB2312"/>
                <w:i w:val="0"/>
                <w:iCs w:val="0"/>
                <w:color w:val="000000"/>
                <w:sz w:val="20"/>
                <w:szCs w:val="20"/>
                <w:u w:val="none"/>
              </w:rPr>
            </w:pPr>
          </w:p>
        </w:tc>
        <w:tc>
          <w:tcPr>
            <w:tcW w:w="6884" w:type="dxa"/>
            <w:gridSpan w:val="4"/>
            <w:tcBorders>
              <w:top w:val="single" w:color="auto" w:sz="4" w:space="0"/>
              <w:left w:val="single" w:color="auto" w:sz="4" w:space="0"/>
              <w:bottom w:val="single" w:color="auto" w:sz="4" w:space="0"/>
              <w:right w:val="single" w:color="auto" w:sz="4" w:space="0"/>
            </w:tcBorders>
            <w:shd w:val="clear"/>
            <w:noWrap/>
            <w:vAlign w:val="center"/>
          </w:tcPr>
          <w:p w14:paraId="335724DC">
            <w:pPr>
              <w:jc w:val="center"/>
              <w:rPr>
                <w:rFonts w:hint="eastAsia" w:ascii="宋体" w:hAnsi="宋体" w:eastAsia="宋体" w:cs="宋体"/>
                <w:i w:val="0"/>
                <w:iCs w:val="0"/>
                <w:color w:val="000000"/>
                <w:sz w:val="22"/>
                <w:szCs w:val="22"/>
                <w:u w:val="none"/>
              </w:rPr>
            </w:pPr>
          </w:p>
        </w:tc>
      </w:tr>
    </w:tbl>
    <w:p w14:paraId="14830986">
      <w:pPr>
        <w:pStyle w:val="2"/>
        <w:jc w:val="both"/>
        <w:rPr>
          <w:rFonts w:hint="eastAsia" w:ascii="方正小标宋简体" w:hAnsi="方正小标宋简体" w:eastAsia="方正小标宋简体" w:cs="方正小标宋简体"/>
          <w:kern w:val="2"/>
          <w:sz w:val="32"/>
          <w:szCs w:val="32"/>
          <w:lang w:val="en-US" w:eastAsia="zh-CN" w:bidi="ar-SA"/>
        </w:rPr>
      </w:pPr>
    </w:p>
    <w:p w14:paraId="5DB2FE28">
      <w:pPr>
        <w:pStyle w:val="2"/>
        <w:rPr>
          <w:rFonts w:hint="eastAsia"/>
          <w:lang w:eastAsia="zh-CN"/>
        </w:rPr>
      </w:pPr>
    </w:p>
    <w:sectPr>
      <w:pgSz w:w="16838" w:h="11906" w:orient="landscape"/>
      <w:pgMar w:top="1701" w:right="1701" w:bottom="1587" w:left="1701" w:header="851" w:footer="141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魏碑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AE89">
    <w:pPr>
      <w:pStyle w:val="8"/>
      <w:ind w:right="360" w:firstLine="360"/>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598D53A">
                <w:pPr>
                  <w:pStyle w:val="8"/>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0E05">
    <w:pPr>
      <w:pStyle w:val="8"/>
      <w:ind w:right="360" w:firstLine="360"/>
    </w:pP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0650C93">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C5D4">
    <w:pPr>
      <w:pStyle w:val="8"/>
    </w:pPr>
    <w:r>
      <w:pict>
        <v:shape id="_x0000_s4097" o:spid="_x0000_s409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B29DFA9">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6109">
    <w:pPr>
      <w:pStyle w:val="8"/>
      <w:ind w:right="360" w:firstLine="360"/>
    </w:pPr>
    <w: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02C052B">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8AC5">
    <w:pPr>
      <w:pStyle w:val="8"/>
      <w:ind w:right="360" w:firstLine="360"/>
    </w:pPr>
    <w: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E9900E6">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CC43">
    <w:pPr>
      <w:pStyle w:val="8"/>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293668">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lMjMzNzk3NzZlZDA2ZTI2NzM0NjFkZTUyMWVmODQifQ=="/>
  </w:docVars>
  <w:rsids>
    <w:rsidRoot w:val="67B76562"/>
    <w:rsid w:val="000168E5"/>
    <w:rsid w:val="000246FE"/>
    <w:rsid w:val="000626E5"/>
    <w:rsid w:val="000A4695"/>
    <w:rsid w:val="000B4F38"/>
    <w:rsid w:val="000C3C87"/>
    <w:rsid w:val="000D2F5E"/>
    <w:rsid w:val="000E2D1E"/>
    <w:rsid w:val="00120E90"/>
    <w:rsid w:val="00125299"/>
    <w:rsid w:val="0015166C"/>
    <w:rsid w:val="001857FE"/>
    <w:rsid w:val="00214621"/>
    <w:rsid w:val="00250049"/>
    <w:rsid w:val="00257868"/>
    <w:rsid w:val="0027419E"/>
    <w:rsid w:val="002C3162"/>
    <w:rsid w:val="002E7A75"/>
    <w:rsid w:val="002F38A8"/>
    <w:rsid w:val="002F552D"/>
    <w:rsid w:val="00334014"/>
    <w:rsid w:val="003450B3"/>
    <w:rsid w:val="00373DD4"/>
    <w:rsid w:val="0038008C"/>
    <w:rsid w:val="003A3671"/>
    <w:rsid w:val="0041238B"/>
    <w:rsid w:val="00495176"/>
    <w:rsid w:val="004C08F5"/>
    <w:rsid w:val="004C2C47"/>
    <w:rsid w:val="004F1880"/>
    <w:rsid w:val="004F32DD"/>
    <w:rsid w:val="00500BB9"/>
    <w:rsid w:val="005262C2"/>
    <w:rsid w:val="005C0814"/>
    <w:rsid w:val="005C3674"/>
    <w:rsid w:val="005F13F3"/>
    <w:rsid w:val="0061244A"/>
    <w:rsid w:val="0064640E"/>
    <w:rsid w:val="006B2A3E"/>
    <w:rsid w:val="0070238B"/>
    <w:rsid w:val="0071151E"/>
    <w:rsid w:val="00720CFD"/>
    <w:rsid w:val="0072207F"/>
    <w:rsid w:val="00722A04"/>
    <w:rsid w:val="00724049"/>
    <w:rsid w:val="00786F99"/>
    <w:rsid w:val="007A393D"/>
    <w:rsid w:val="007B1724"/>
    <w:rsid w:val="007B3EEF"/>
    <w:rsid w:val="007C00AD"/>
    <w:rsid w:val="008269A0"/>
    <w:rsid w:val="00842F38"/>
    <w:rsid w:val="0089347B"/>
    <w:rsid w:val="008A14B5"/>
    <w:rsid w:val="008D4AB8"/>
    <w:rsid w:val="00922E95"/>
    <w:rsid w:val="0095475D"/>
    <w:rsid w:val="00956A9D"/>
    <w:rsid w:val="009B04BC"/>
    <w:rsid w:val="009C3111"/>
    <w:rsid w:val="009D1C52"/>
    <w:rsid w:val="009E1894"/>
    <w:rsid w:val="00A36557"/>
    <w:rsid w:val="00A45B96"/>
    <w:rsid w:val="00A549E7"/>
    <w:rsid w:val="00A738C1"/>
    <w:rsid w:val="00A755FD"/>
    <w:rsid w:val="00A759B3"/>
    <w:rsid w:val="00AA7FC9"/>
    <w:rsid w:val="00AE21CA"/>
    <w:rsid w:val="00B5234F"/>
    <w:rsid w:val="00B84935"/>
    <w:rsid w:val="00BF586D"/>
    <w:rsid w:val="00C075B7"/>
    <w:rsid w:val="00C41185"/>
    <w:rsid w:val="00C54BB2"/>
    <w:rsid w:val="00C80EDF"/>
    <w:rsid w:val="00C81004"/>
    <w:rsid w:val="00CB318D"/>
    <w:rsid w:val="00CC3059"/>
    <w:rsid w:val="00D43895"/>
    <w:rsid w:val="00E30E81"/>
    <w:rsid w:val="00E56B8B"/>
    <w:rsid w:val="00E70614"/>
    <w:rsid w:val="00E8766B"/>
    <w:rsid w:val="00EB0705"/>
    <w:rsid w:val="00EB1582"/>
    <w:rsid w:val="00EC5AA4"/>
    <w:rsid w:val="00EE4C85"/>
    <w:rsid w:val="00F278B6"/>
    <w:rsid w:val="00F70740"/>
    <w:rsid w:val="00F74916"/>
    <w:rsid w:val="00FD042F"/>
    <w:rsid w:val="02B61588"/>
    <w:rsid w:val="03452067"/>
    <w:rsid w:val="0A1B69F7"/>
    <w:rsid w:val="0C0231FF"/>
    <w:rsid w:val="10320E9D"/>
    <w:rsid w:val="107650B9"/>
    <w:rsid w:val="114422CE"/>
    <w:rsid w:val="11997405"/>
    <w:rsid w:val="14510786"/>
    <w:rsid w:val="16FC16F4"/>
    <w:rsid w:val="1E172F5A"/>
    <w:rsid w:val="1F986C6B"/>
    <w:rsid w:val="2313290B"/>
    <w:rsid w:val="24897644"/>
    <w:rsid w:val="27230EF8"/>
    <w:rsid w:val="2A2E6745"/>
    <w:rsid w:val="304A524D"/>
    <w:rsid w:val="31A65260"/>
    <w:rsid w:val="38B120E1"/>
    <w:rsid w:val="39541BFF"/>
    <w:rsid w:val="3B754E7B"/>
    <w:rsid w:val="3BF92556"/>
    <w:rsid w:val="42DA549D"/>
    <w:rsid w:val="436C10CE"/>
    <w:rsid w:val="47A72F0F"/>
    <w:rsid w:val="4C912E17"/>
    <w:rsid w:val="4DAD2F7F"/>
    <w:rsid w:val="53091591"/>
    <w:rsid w:val="56D83743"/>
    <w:rsid w:val="59AB1DA0"/>
    <w:rsid w:val="64E61576"/>
    <w:rsid w:val="66A02EEE"/>
    <w:rsid w:val="67B76562"/>
    <w:rsid w:val="67EC2CD6"/>
    <w:rsid w:val="6B653CB6"/>
    <w:rsid w:val="6ECF7270"/>
    <w:rsid w:val="6EE44340"/>
    <w:rsid w:val="73C979D4"/>
    <w:rsid w:val="75414C6A"/>
    <w:rsid w:val="7697299D"/>
    <w:rsid w:val="FBFC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
    <w:qFormat/>
    <w:locked/>
    <w:uiPriority w:val="0"/>
    <w:pPr>
      <w:overflowPunct w:val="0"/>
      <w:spacing w:line="630" w:lineRule="exact"/>
      <w:jc w:val="center"/>
      <w:outlineLvl w:val="0"/>
    </w:pPr>
    <w:rPr>
      <w:rFonts w:ascii="方正小标宋简体" w:hAnsi="方正小标宋简体" w:eastAsia="方正小标宋简体"/>
      <w:kern w:val="44"/>
      <w:sz w:val="44"/>
      <w:szCs w:val="20"/>
    </w:rPr>
  </w:style>
  <w:style w:type="paragraph" w:styleId="6">
    <w:name w:val="heading 3"/>
    <w:basedOn w:val="1"/>
    <w:next w:val="1"/>
    <w:link w:val="16"/>
    <w:qFormat/>
    <w:locked/>
    <w:uiPriority w:val="99"/>
    <w:pPr>
      <w:keepNext/>
      <w:keepLines/>
      <w:spacing w:line="413" w:lineRule="auto"/>
      <w:outlineLvl w:val="2"/>
    </w:pPr>
    <w:rPr>
      <w:b/>
      <w:kern w:val="0"/>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textAlignment w:val="bottom"/>
    </w:pPr>
  </w:style>
  <w:style w:type="paragraph" w:styleId="3">
    <w:name w:val="Body Text"/>
    <w:basedOn w:val="1"/>
    <w:next w:val="4"/>
    <w:qFormat/>
    <w:uiPriority w:val="99"/>
    <w:rPr>
      <w:rFonts w:ascii="宋体" w:hAnsi="Calibri"/>
      <w:kern w:val="0"/>
      <w:sz w:val="24"/>
    </w:rPr>
  </w:style>
  <w:style w:type="paragraph" w:styleId="4">
    <w:name w:val="index 7"/>
    <w:basedOn w:val="1"/>
    <w:next w:val="1"/>
    <w:qFormat/>
    <w:uiPriority w:val="0"/>
    <w:pPr>
      <w:ind w:left="25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cs="Times New Roman"/>
    </w:rPr>
  </w:style>
  <w:style w:type="character" w:customStyle="1" w:styleId="15">
    <w:name w:val="标题 1 Char"/>
    <w:link w:val="5"/>
    <w:qFormat/>
    <w:uiPriority w:val="0"/>
    <w:rPr>
      <w:rFonts w:ascii="方正小标宋简体" w:hAnsi="方正小标宋简体" w:eastAsia="方正小标宋简体"/>
      <w:kern w:val="44"/>
      <w:sz w:val="44"/>
    </w:rPr>
  </w:style>
  <w:style w:type="character" w:customStyle="1" w:styleId="16">
    <w:name w:val="标题 3 Char1"/>
    <w:basedOn w:val="13"/>
    <w:link w:val="6"/>
    <w:semiHidden/>
    <w:qFormat/>
    <w:uiPriority w:val="9"/>
    <w:rPr>
      <w:rFonts w:ascii="Calibri" w:hAnsi="Calibri"/>
      <w:b/>
      <w:bCs/>
      <w:sz w:val="32"/>
      <w:szCs w:val="32"/>
    </w:rPr>
  </w:style>
  <w:style w:type="character" w:customStyle="1" w:styleId="17">
    <w:name w:val="页眉 Char"/>
    <w:link w:val="9"/>
    <w:qFormat/>
    <w:uiPriority w:val="0"/>
    <w:rPr>
      <w:kern w:val="2"/>
      <w:sz w:val="18"/>
      <w:szCs w:val="18"/>
    </w:rPr>
  </w:style>
  <w:style w:type="character" w:customStyle="1" w:styleId="18">
    <w:name w:val="标题 3 Char"/>
    <w:qFormat/>
    <w:uiPriority w:val="99"/>
    <w:rPr>
      <w:b/>
      <w:sz w:val="32"/>
    </w:rPr>
  </w:style>
  <w:style w:type="character" w:customStyle="1" w:styleId="19">
    <w:name w:val="font141"/>
    <w:qFormat/>
    <w:uiPriority w:val="0"/>
    <w:rPr>
      <w:rFonts w:ascii="Times New Roman" w:hAnsi="Times New Roman" w:cs="Times New Roman"/>
      <w:color w:val="000000"/>
      <w:sz w:val="24"/>
      <w:szCs w:val="24"/>
      <w:u w:val="none"/>
    </w:rPr>
  </w:style>
  <w:style w:type="character" w:customStyle="1" w:styleId="20">
    <w:name w:val="font131"/>
    <w:qFormat/>
    <w:uiPriority w:val="0"/>
    <w:rPr>
      <w:rFonts w:ascii="宋体" w:hAnsi="宋体" w:eastAsia="宋体" w:cs="宋体"/>
      <w:color w:val="000000"/>
      <w:sz w:val="18"/>
      <w:szCs w:val="18"/>
      <w:u w:val="none"/>
    </w:rPr>
  </w:style>
  <w:style w:type="character" w:customStyle="1" w:styleId="21">
    <w:name w:val="font11"/>
    <w:qFormat/>
    <w:uiPriority w:val="0"/>
    <w:rPr>
      <w:rFonts w:ascii="宋体" w:hAnsi="宋体" w:eastAsia="宋体" w:cs="宋体"/>
      <w:color w:val="000000"/>
      <w:sz w:val="20"/>
      <w:szCs w:val="20"/>
      <w:u w:val="none"/>
    </w:rPr>
  </w:style>
  <w:style w:type="character" w:customStyle="1" w:styleId="22">
    <w:name w:val="font61"/>
    <w:qFormat/>
    <w:uiPriority w:val="0"/>
    <w:rPr>
      <w:rFonts w:ascii="Times New Roman" w:hAnsi="Times New Roman" w:cs="Times New Roman"/>
      <w:b/>
      <w:color w:val="000000"/>
      <w:sz w:val="28"/>
      <w:szCs w:val="28"/>
      <w:u w:val="none"/>
    </w:rPr>
  </w:style>
  <w:style w:type="character" w:customStyle="1" w:styleId="23">
    <w:name w:val="font101"/>
    <w:qFormat/>
    <w:uiPriority w:val="0"/>
    <w:rPr>
      <w:rFonts w:ascii="宋体" w:hAnsi="宋体" w:eastAsia="宋体" w:cs="宋体"/>
      <w:color w:val="000000"/>
      <w:sz w:val="24"/>
      <w:szCs w:val="24"/>
      <w:u w:val="none"/>
    </w:rPr>
  </w:style>
  <w:style w:type="character" w:customStyle="1" w:styleId="24">
    <w:name w:val="font121"/>
    <w:qFormat/>
    <w:uiPriority w:val="0"/>
    <w:rPr>
      <w:rFonts w:ascii="Times New Roman" w:hAnsi="Times New Roman" w:cs="Times New Roman"/>
      <w:color w:val="000000"/>
      <w:sz w:val="20"/>
      <w:szCs w:val="20"/>
      <w:u w:val="none"/>
    </w:rPr>
  </w:style>
  <w:style w:type="paragraph" w:customStyle="1" w:styleId="25">
    <w:name w:val="Char1"/>
    <w:basedOn w:val="1"/>
    <w:qFormat/>
    <w:uiPriority w:val="0"/>
  </w:style>
  <w:style w:type="paragraph" w:customStyle="1" w:styleId="26">
    <w:name w:val="列出段落1"/>
    <w:basedOn w:val="1"/>
    <w:qFormat/>
    <w:uiPriority w:val="0"/>
    <w:pPr>
      <w:ind w:firstLine="420" w:firstLineChars="200"/>
    </w:pPr>
    <w:rPr>
      <w:rFonts w:ascii="Calibri" w:hAnsi="Calibri"/>
      <w:szCs w:val="22"/>
    </w:rPr>
  </w:style>
  <w:style w:type="paragraph" w:customStyle="1" w:styleId="27">
    <w:name w:val="列出段落11"/>
    <w:basedOn w:val="1"/>
    <w:qFormat/>
    <w:uiPriority w:val="0"/>
    <w:pPr>
      <w:ind w:firstLine="420" w:firstLineChars="200"/>
    </w:pPr>
  </w:style>
  <w:style w:type="paragraph" w:customStyle="1" w:styleId="28">
    <w:name w:val="Char11"/>
    <w:basedOn w:val="1"/>
    <w:qFormat/>
    <w:uiPriority w:val="0"/>
  </w:style>
  <w:style w:type="character" w:customStyle="1" w:styleId="29">
    <w:name w:val="NormalCharacter"/>
    <w:semiHidden/>
    <w:qFormat/>
    <w:uiPriority w:val="0"/>
    <w:rPr>
      <w:rFonts w:ascii="Calibri" w:hAnsi="Calibri" w:eastAsia="宋体" w:cs="Times New Roman"/>
      <w:kern w:val="2"/>
      <w:sz w:val="21"/>
      <w:szCs w:val="24"/>
      <w:lang w:val="en-US" w:eastAsia="zh-CN" w:bidi="ar-SA"/>
    </w:rPr>
  </w:style>
  <w:style w:type="character" w:customStyle="1" w:styleId="30">
    <w:name w:val="15"/>
    <w:basedOn w:val="13"/>
    <w:qFormat/>
    <w:uiPriority w:val="0"/>
    <w:rPr>
      <w:rFonts w:hint="eastAsia" w:ascii="黑体" w:hAnsi="黑体" w:eastAsia="黑体"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5662</Words>
  <Characters>5943</Characters>
  <Lines>42</Lines>
  <Paragraphs>12</Paragraphs>
  <TotalTime>18</TotalTime>
  <ScaleCrop>false</ScaleCrop>
  <LinksUpToDate>false</LinksUpToDate>
  <CharactersWithSpaces>5964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2024-05-30T05:19:00Z</dcterms:created>
  <dc:creator>四郎滔</dc:creator>
  <cp:lastModifiedBy>Administrator</cp:lastModifiedBy>
  <cp:lastPrinted>2023-05-26T08:26:00Z</cp:lastPrinted>
  <dcterms:modified xsi:type="dcterms:W3CDTF">2024-09-02T08:26:40Z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C506B68E226C4BE599969B0DEDF386D6</vt:lpwstr>
  </property>
</Properties>
</file>